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8"/>
          <w:szCs w:val="22"/>
          <w:lang w:val="en-GB"/>
        </w:rPr>
      </w:pPr>
      <w:r>
        <w:rPr>
          <w:sz w:val="18"/>
          <w:szCs w:val="22"/>
          <w:lang w:val="en-GB"/>
        </w:rPr>
        <mc:AlternateContent>
          <mc:Choice Requires="wps">
            <w:drawing>
              <wp:anchor behindDoc="0" distT="0" distB="0" distL="0" distR="0" simplePos="0" locked="0" layoutInCell="1" allowOverlap="1" relativeHeight="2" wp14:anchorId="49512B1F">
                <wp:simplePos x="0" y="0"/>
                <wp:positionH relativeFrom="column">
                  <wp:posOffset>1270</wp:posOffset>
                </wp:positionH>
                <wp:positionV relativeFrom="paragraph">
                  <wp:posOffset>118110</wp:posOffset>
                </wp:positionV>
                <wp:extent cx="6198235" cy="3457575"/>
                <wp:effectExtent l="0" t="0" r="12700" b="10160"/>
                <wp:wrapNone/>
                <wp:docPr id="1" name="Text Box 1"/>
                <a:graphic xmlns:a="http://schemas.openxmlformats.org/drawingml/2006/main">
                  <a:graphicData uri="http://schemas.microsoft.com/office/word/2010/wordprocessingShape">
                    <wps:wsp>
                      <wps:cNvSpPr/>
                      <wps:spPr>
                        <a:xfrm>
                          <a:off x="0" y="0"/>
                          <a:ext cx="6197760" cy="3457080"/>
                        </a:xfrm>
                        <a:prstGeom prst="rect">
                          <a:avLst/>
                        </a:prstGeom>
                        <a:solidFill>
                          <a:schemeClr val="lt1"/>
                        </a:solidFill>
                        <a:ln w="6480">
                          <a:solidFill>
                            <a:srgbClr val="000000"/>
                          </a:solidFill>
                          <a:round/>
                        </a:ln>
                      </wps:spPr>
                      <wps:style>
                        <a:lnRef idx="0"/>
                        <a:fillRef idx="0"/>
                        <a:effectRef idx="0"/>
                        <a:fontRef idx="minor"/>
                      </wps:style>
                      <wps:txbx>
                        <w:txbxContent>
                          <w:p>
                            <w:pPr>
                              <w:pStyle w:val="Heading1"/>
                              <w:spacing w:before="480" w:after="0"/>
                              <w:rPr>
                                <w:b w:val="false"/>
                                <w:b w:val="false"/>
                                <w:bCs w:val="false"/>
                                <w:lang w:val="en-US"/>
                              </w:rPr>
                            </w:pPr>
                            <w:r>
                              <w:rPr>
                                <w:lang w:val="en-US"/>
                              </w:rPr>
                              <w:t>Call for Technology Development Projects (TDPs) within Pandemic Laboratory Preparedness (PLP) at Clinical Microbiology laboratories</w:t>
                            </w:r>
                          </w:p>
                          <w:p>
                            <w:pPr>
                              <w:pStyle w:val="FrameContents"/>
                              <w:rPr>
                                <w:lang w:val="en-US"/>
                              </w:rPr>
                            </w:pPr>
                            <w:r>
                              <w:rPr>
                                <w:lang w:val="en-US"/>
                              </w:rPr>
                            </w:r>
                          </w:p>
                          <w:p>
                            <w:pPr>
                              <w:pStyle w:val="FrameContents"/>
                              <w:rPr>
                                <w:sz w:val="22"/>
                                <w:szCs w:val="22"/>
                                <w:lang w:val="en-US"/>
                              </w:rPr>
                            </w:pPr>
                            <w:r>
                              <w:rPr>
                                <w:sz w:val="22"/>
                                <w:szCs w:val="22"/>
                                <w:lang w:val="en-US"/>
                              </w:rPr>
                              <w:t xml:space="preserve">The PLP program in SciLifeLab has decided to identify and support Technology Development Projects with the potential to generate important capabilities within PLP at the major Clinical Microbiology laboratories in Sweden. This will be done </w:t>
                            </w:r>
                            <w:r>
                              <w:rPr>
                                <w:i/>
                                <w:iCs/>
                                <w:sz w:val="22"/>
                                <w:szCs w:val="22"/>
                                <w:lang w:val="en-US"/>
                              </w:rPr>
                              <w:t>by</w:t>
                            </w:r>
                            <w:r>
                              <w:rPr>
                                <w:b/>
                                <w:bCs/>
                                <w:i/>
                                <w:iCs/>
                                <w:sz w:val="22"/>
                                <w:szCs w:val="22"/>
                                <w:lang w:val="en-US"/>
                              </w:rPr>
                              <w:t xml:space="preserve"> financially supporting technology development projects related to pandemic research in Clin Micro labs.</w:t>
                            </w:r>
                            <w:r>
                              <w:rPr>
                                <w:sz w:val="22"/>
                                <w:szCs w:val="22"/>
                                <w:lang w:val="en-US"/>
                              </w:rPr>
                              <w:t xml:space="preserve"> Research and development of analysis methods is needed before and during pandemics and this can be supported financially within the PLP program and by giving access to the SciLifeLab infrastructure and research network. Areas of interest are d</w:t>
                            </w:r>
                            <w:r>
                              <w:rPr>
                                <w:rFonts w:eastAsia="Times New Roman"/>
                                <w:sz w:val="22"/>
                                <w:szCs w:val="22"/>
                                <w:lang w:val="en-SE"/>
                              </w:rPr>
                              <w:t>iagnostics and analyses of infectious diseases</w:t>
                            </w:r>
                            <w:r>
                              <w:rPr>
                                <w:sz w:val="22"/>
                                <w:szCs w:val="22"/>
                                <w:lang w:val="en-US"/>
                              </w:rPr>
                              <w:t>, analyses of immune responses during infections and vaccination and studies of r</w:t>
                            </w:r>
                            <w:r>
                              <w:rPr>
                                <w:sz w:val="22"/>
                                <w:szCs w:val="22"/>
                                <w:lang w:val="en-SE"/>
                              </w:rPr>
                              <w:t>esistance development in viruses, bacteria and other infectious agents</w:t>
                            </w:r>
                            <w:r>
                              <w:rPr>
                                <w:sz w:val="22"/>
                                <w:szCs w:val="22"/>
                                <w:lang w:val="en-US"/>
                              </w:rPr>
                              <w:t>. The TDP can also involve</w:t>
                            </w:r>
                            <w:r>
                              <w:rPr>
                                <w:i/>
                                <w:iCs/>
                                <w:sz w:val="22"/>
                                <w:szCs w:val="22"/>
                                <w:lang w:val="en-US"/>
                              </w:rPr>
                              <w:t xml:space="preserve"> </w:t>
                            </w:r>
                            <w:r>
                              <w:rPr>
                                <w:b/>
                                <w:bCs/>
                                <w:i/>
                                <w:iCs/>
                                <w:sz w:val="22"/>
                                <w:szCs w:val="22"/>
                                <w:lang w:val="en-US"/>
                              </w:rPr>
                              <w:t>education of personnel and support of bioinformatic analyses and data handling.</w:t>
                            </w:r>
                            <w:r>
                              <w:rPr>
                                <w:sz w:val="22"/>
                                <w:szCs w:val="22"/>
                                <w:lang w:val="en-US"/>
                              </w:rPr>
                              <w:t xml:space="preserve"> </w:t>
                            </w:r>
                          </w:p>
                          <w:p>
                            <w:pPr>
                              <w:pStyle w:val="FrameContents"/>
                              <w:rPr>
                                <w:sz w:val="22"/>
                                <w:szCs w:val="22"/>
                                <w:lang w:val="en-US"/>
                              </w:rPr>
                            </w:pPr>
                            <w:r>
                              <w:rPr>
                                <w:sz w:val="22"/>
                                <w:szCs w:val="22"/>
                                <w:lang w:val="en-US"/>
                              </w:rPr>
                              <w:t>Applicants can apply for up to 1 MSEK/year for 1 year (2022/2023) with a potential for further funding 2024. A maximum of 8 TDPs will be supported in this call.</w:t>
                            </w:r>
                          </w:p>
                          <w:p>
                            <w:pPr>
                              <w:pStyle w:val="FrameContents"/>
                              <w:rPr>
                                <w:sz w:val="22"/>
                                <w:szCs w:val="22"/>
                                <w:lang w:val="en-US"/>
                              </w:rPr>
                            </w:pPr>
                            <w:r>
                              <w:rPr>
                                <w:sz w:val="22"/>
                                <w:szCs w:val="22"/>
                                <w:lang w:val="en-US"/>
                              </w:rPr>
                              <w:t xml:space="preserve">The main applicant has to be employed by the Clinical Microbiology laboratory and associated with a University. The TDP grant is personal for the main applicant. </w:t>
                            </w:r>
                          </w:p>
                        </w:txbxContent>
                      </wps:txbx>
                      <wps:bodyPr>
                        <a:noAutofit/>
                      </wps:bodyPr>
                    </wps:wsp>
                  </a:graphicData>
                </a:graphic>
              </wp:anchor>
            </w:drawing>
          </mc:Choice>
          <mc:Fallback>
            <w:pict>
              <v:rect id="shape_0" ID="Text Box 1" fillcolor="white" stroked="t" style="position:absolute;margin-left:0.1pt;margin-top:9.3pt;width:487.95pt;height:272.15pt" wp14:anchorId="49512B1F">
                <w10:wrap type="square"/>
                <v:fill o:detectmouseclick="t" type="solid" color2="black"/>
                <v:stroke color="black" weight="6480" joinstyle="round" endcap="flat"/>
                <v:textbox>
                  <w:txbxContent>
                    <w:p>
                      <w:pPr>
                        <w:pStyle w:val="Heading1"/>
                        <w:spacing w:before="480" w:after="0"/>
                        <w:rPr>
                          <w:b w:val="false"/>
                          <w:b w:val="false"/>
                          <w:bCs w:val="false"/>
                          <w:lang w:val="en-US"/>
                        </w:rPr>
                      </w:pPr>
                      <w:r>
                        <w:rPr>
                          <w:lang w:val="en-US"/>
                        </w:rPr>
                        <w:t>Call for Technology Development Projects (TDPs) within Pandemic Laboratory Preparedness (PLP) at Clinical Microbiology laboratories</w:t>
                      </w:r>
                    </w:p>
                    <w:p>
                      <w:pPr>
                        <w:pStyle w:val="FrameContents"/>
                        <w:rPr>
                          <w:lang w:val="en-US"/>
                        </w:rPr>
                      </w:pPr>
                      <w:r>
                        <w:rPr>
                          <w:lang w:val="en-US"/>
                        </w:rPr>
                      </w:r>
                    </w:p>
                    <w:p>
                      <w:pPr>
                        <w:pStyle w:val="FrameContents"/>
                        <w:rPr>
                          <w:sz w:val="22"/>
                          <w:szCs w:val="22"/>
                          <w:lang w:val="en-US"/>
                        </w:rPr>
                      </w:pPr>
                      <w:r>
                        <w:rPr>
                          <w:sz w:val="22"/>
                          <w:szCs w:val="22"/>
                          <w:lang w:val="en-US"/>
                        </w:rPr>
                        <w:t xml:space="preserve">The PLP program in SciLifeLab has decided to identify and support Technology Development Projects with the potential to generate important capabilities within PLP at the major Clinical Microbiology laboratories in Sweden. This will be done </w:t>
                      </w:r>
                      <w:r>
                        <w:rPr>
                          <w:i/>
                          <w:iCs/>
                          <w:sz w:val="22"/>
                          <w:szCs w:val="22"/>
                          <w:lang w:val="en-US"/>
                        </w:rPr>
                        <w:t>by</w:t>
                      </w:r>
                      <w:r>
                        <w:rPr>
                          <w:b/>
                          <w:bCs/>
                          <w:i/>
                          <w:iCs/>
                          <w:sz w:val="22"/>
                          <w:szCs w:val="22"/>
                          <w:lang w:val="en-US"/>
                        </w:rPr>
                        <w:t xml:space="preserve"> financially supporting technology development projects related to pandemic research in Clin Micro labs.</w:t>
                      </w:r>
                      <w:r>
                        <w:rPr>
                          <w:sz w:val="22"/>
                          <w:szCs w:val="22"/>
                          <w:lang w:val="en-US"/>
                        </w:rPr>
                        <w:t xml:space="preserve"> Research and development of analysis methods is needed before and during pandemics and this can be supported financially within the PLP program and by giving access to the SciLifeLab infrastructure and research network. Areas of interest are d</w:t>
                      </w:r>
                      <w:r>
                        <w:rPr>
                          <w:rFonts w:eastAsia="Times New Roman"/>
                          <w:sz w:val="22"/>
                          <w:szCs w:val="22"/>
                          <w:lang w:val="en-SE"/>
                        </w:rPr>
                        <w:t>iagnostics and analyses of infectious diseases</w:t>
                      </w:r>
                      <w:r>
                        <w:rPr>
                          <w:sz w:val="22"/>
                          <w:szCs w:val="22"/>
                          <w:lang w:val="en-US"/>
                        </w:rPr>
                        <w:t>, analyses of immune responses during infections and vaccination and studies of r</w:t>
                      </w:r>
                      <w:r>
                        <w:rPr>
                          <w:sz w:val="22"/>
                          <w:szCs w:val="22"/>
                          <w:lang w:val="en-SE"/>
                        </w:rPr>
                        <w:t>esistance development in viruses, bacteria and other infectious agents</w:t>
                      </w:r>
                      <w:r>
                        <w:rPr>
                          <w:sz w:val="22"/>
                          <w:szCs w:val="22"/>
                          <w:lang w:val="en-US"/>
                        </w:rPr>
                        <w:t>. The TDP can also involve</w:t>
                      </w:r>
                      <w:r>
                        <w:rPr>
                          <w:i/>
                          <w:iCs/>
                          <w:sz w:val="22"/>
                          <w:szCs w:val="22"/>
                          <w:lang w:val="en-US"/>
                        </w:rPr>
                        <w:t xml:space="preserve"> </w:t>
                      </w:r>
                      <w:r>
                        <w:rPr>
                          <w:b/>
                          <w:bCs/>
                          <w:i/>
                          <w:iCs/>
                          <w:sz w:val="22"/>
                          <w:szCs w:val="22"/>
                          <w:lang w:val="en-US"/>
                        </w:rPr>
                        <w:t>education of personnel and support of bioinformatic analyses and data handling.</w:t>
                      </w:r>
                      <w:r>
                        <w:rPr>
                          <w:sz w:val="22"/>
                          <w:szCs w:val="22"/>
                          <w:lang w:val="en-US"/>
                        </w:rPr>
                        <w:t xml:space="preserve"> </w:t>
                      </w:r>
                    </w:p>
                    <w:p>
                      <w:pPr>
                        <w:pStyle w:val="FrameContents"/>
                        <w:rPr>
                          <w:sz w:val="22"/>
                          <w:szCs w:val="22"/>
                          <w:lang w:val="en-US"/>
                        </w:rPr>
                      </w:pPr>
                      <w:r>
                        <w:rPr>
                          <w:sz w:val="22"/>
                          <w:szCs w:val="22"/>
                          <w:lang w:val="en-US"/>
                        </w:rPr>
                        <w:t>Applicants can apply for up to 1 MSEK/year for 1 year (2022/2023) with a potential for further funding 2024. A maximum of 8 TDPs will be supported in this call.</w:t>
                      </w:r>
                    </w:p>
                    <w:p>
                      <w:pPr>
                        <w:pStyle w:val="FrameContents"/>
                        <w:rPr>
                          <w:sz w:val="22"/>
                          <w:szCs w:val="22"/>
                          <w:lang w:val="en-US"/>
                        </w:rPr>
                      </w:pPr>
                      <w:r>
                        <w:rPr>
                          <w:sz w:val="22"/>
                          <w:szCs w:val="22"/>
                          <w:lang w:val="en-US"/>
                        </w:rPr>
                        <w:t xml:space="preserve">The main applicant has to be employed by the Clinical Microbiology laboratory and associated with a University. The TDP grant is personal for the main applicant. </w:t>
                      </w:r>
                    </w:p>
                  </w:txbxContent>
                </v:textbox>
              </v:rect>
            </w:pict>
          </mc:Fallback>
        </mc:AlternateContent>
      </w:r>
    </w:p>
    <w:tbl>
      <w:tblPr>
        <w:tblStyle w:val="LightGrid-Accent3"/>
        <w:tblpPr w:bottomFromText="0" w:horzAnchor="margin" w:leftFromText="180" w:rightFromText="180" w:tblpX="0" w:tblpY="12621" w:topFromText="0" w:vertAnchor="page"/>
        <w:tblW w:w="8928" w:type="dxa"/>
        <w:jc w:val="left"/>
        <w:tblInd w:w="0" w:type="dxa"/>
        <w:tblCellMar>
          <w:top w:w="0" w:type="dxa"/>
          <w:left w:w="108" w:type="dxa"/>
          <w:bottom w:w="0" w:type="dxa"/>
          <w:right w:w="108" w:type="dxa"/>
        </w:tblCellMar>
        <w:tblLook w:val="04a0" w:noHBand="0" w:noVBand="1" w:firstColumn="1" w:lastRow="0" w:lastColumn="0" w:firstRow="1"/>
      </w:tblPr>
      <w:tblGrid>
        <w:gridCol w:w="3534"/>
        <w:gridCol w:w="5393"/>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3534"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tcBorders>
            <w:shd w:color="auto" w:fill="E9F2D1" w:val="clear"/>
          </w:tcPr>
          <w:p>
            <w:pPr>
              <w:pStyle w:val="Normal"/>
              <w:spacing w:before="0" w:after="0"/>
              <w:jc w:val="left"/>
              <w:rPr>
                <w:b w:val="false"/>
                <w:b w:val="false"/>
              </w:rPr>
            </w:pPr>
            <w:r>
              <w:rPr>
                <w:rFonts w:eastAsia="ＭＳ ゴシック" w:cs="" w:cstheme="majorBidi" w:eastAsiaTheme="majorEastAsia" w:ascii="Arial" w:hAnsi="Arial"/>
                <w:b w:val="false"/>
                <w:bCs/>
                <w:sz w:val="20"/>
              </w:rPr>
              <w:t>Name of proposal</w:t>
            </w:r>
          </w:p>
        </w:tc>
        <w:tc>
          <w:tcPr>
            <w:tcW w:w="5393" w:type="dxa"/>
            <w:tcBorders>
              <w:top w:val="single" w:sz="2" w:space="0" w:color="000000"/>
              <w:bottom w:val="single" w:sz="2" w:space="0" w:color="000000"/>
              <w:right w:val="single" w:sz="2" w:space="0" w:color="000000"/>
            </w:tcBorders>
            <w:shd w:color="auto" w:fill="auto" w:val="clear"/>
            <w:vAlign w:val="center"/>
          </w:tcPr>
          <w:p>
            <w:pPr>
              <w:pStyle w:val="Normal"/>
              <w:spacing w:before="0" w:after="0"/>
              <w:jc w:val="center"/>
              <w:cnfStyle w:val="100000000000" w:firstRow="1" w:lastRow="0" w:firstColumn="0" w:lastColumn="0" w:oddVBand="0" w:evenVBand="0" w:oddHBand="0" w:evenHBand="0" w:firstRowFirstColumn="0" w:firstRowLastColumn="0" w:lastRowFirstColumn="0" w:lastRowLastColumn="0"/>
              <w:rPr>
                <w:rFonts w:ascii="Arial" w:hAnsi="Arial" w:eastAsia="ＭＳ ゴシック" w:cs="" w:cstheme="majorBidi" w:eastAsiaTheme="majorEastAsia"/>
                <w:b/>
                <w:b/>
                <w:bCs/>
                <w:sz w:val="20"/>
              </w:rPr>
            </w:pPr>
            <w:r>
              <w:rPr>
                <w:rFonts w:eastAsia="ＭＳ ゴシック" w:cs="" w:cstheme="majorBidi" w:eastAsiaTheme="majorEastAsia" w:ascii="Arial" w:hAnsi="Arial"/>
                <w:b/>
                <w:bCs/>
                <w:sz w:val="20"/>
              </w:rPr>
            </w:r>
          </w:p>
        </w:tc>
      </w:tr>
      <w:tr>
        <w:trPr>
          <w:trHeight w:val="454" w:hRule="atLeast"/>
          <w:cnfStyle w:val="000000100000" w:firstRow="0" w:lastRow="0" w:firstColumn="0" w:lastColumn="0" w:oddVBand="0" w:evenVBand="0" w:oddHBand="1" w:evenHBand="0" w:firstRowFirstColumn="0" w:firstRowLastColumn="0" w:lastRowFirstColumn="0" w:lastRowLastColumn="0"/>
        </w:trPr>
        <w:tc>
          <w:tcPr>
            <w:tcW w:w="3534"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tcBorders>
            <w:shd w:color="auto" w:fill="E9F2D1" w:val="clear"/>
          </w:tcPr>
          <w:p>
            <w:pPr>
              <w:pStyle w:val="Normal"/>
              <w:jc w:val="left"/>
              <w:rPr>
                <w:rFonts w:ascii="Arial" w:hAnsi="Arial" w:eastAsia="ＭＳ ゴシック" w:cs="" w:cstheme="majorBidi" w:eastAsiaTheme="majorEastAsia"/>
                <w:b w:val="false"/>
                <w:b w:val="false"/>
                <w:bCs/>
                <w:sz w:val="16"/>
              </w:rPr>
            </w:pPr>
            <w:r>
              <w:rPr>
                <w:rFonts w:eastAsia="ＭＳ ゴシック" w:cs="" w:cstheme="majorBidi" w:eastAsiaTheme="majorEastAsia" w:ascii="Arial" w:hAnsi="Arial"/>
                <w:b w:val="false"/>
                <w:bCs/>
                <w:sz w:val="16"/>
              </w:rPr>
              <w:t>PI Name</w:t>
            </w:r>
          </w:p>
        </w:tc>
        <w:tc>
          <w:tcPr>
            <w:tcW w:w="5393" w:type="dxa"/>
            <w:tcBorders>
              <w:top w:val="single" w:sz="2" w:space="0" w:color="000000"/>
              <w:bottom w:val="single" w:sz="2" w:space="0" w:color="000000"/>
              <w:right w:val="single" w:sz="2" w:space="0" w:color="000000"/>
            </w:tcBorders>
            <w:shd w:color="auto" w:fill="auto" w:val="clear"/>
            <w:vAlign w:val="center"/>
          </w:tcPr>
          <w:p>
            <w:pPr>
              <w:pStyle w:val="Normal"/>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r>
          </w:p>
        </w:tc>
      </w:tr>
      <w:tr>
        <w:trPr>
          <w:trHeight w:val="454" w:hRule="atLeast"/>
          <w:cnfStyle w:val="000000010000" w:firstRow="0" w:lastRow="0" w:firstColumn="0" w:lastColumn="0" w:oddVBand="0" w:evenVBand="0" w:oddHBand="0" w:evenHBand="1" w:firstRowFirstColumn="0" w:firstRowLastColumn="0" w:lastRowFirstColumn="0" w:lastRowLastColumn="0"/>
        </w:trPr>
        <w:tc>
          <w:tcPr>
            <w:tcW w:w="3534"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tcBorders>
            <w:shd w:color="auto" w:fill="E9F2D1" w:val="clear"/>
          </w:tcPr>
          <w:p>
            <w:pPr>
              <w:pStyle w:val="Normal"/>
              <w:jc w:val="left"/>
              <w:rPr>
                <w:rFonts w:ascii="Arial" w:hAnsi="Arial" w:eastAsia="ＭＳ ゴシック" w:cs="" w:cstheme="majorBidi" w:eastAsiaTheme="majorEastAsia"/>
                <w:b w:val="false"/>
                <w:b w:val="false"/>
                <w:bCs/>
                <w:sz w:val="16"/>
              </w:rPr>
            </w:pPr>
            <w:r>
              <w:rPr>
                <w:rFonts w:eastAsia="ＭＳ ゴシック" w:cs="" w:cstheme="majorBidi" w:eastAsiaTheme="majorEastAsia" w:ascii="Arial" w:hAnsi="Arial"/>
                <w:b w:val="false"/>
                <w:bCs/>
                <w:sz w:val="16"/>
              </w:rPr>
              <w:t>PI Affiliation (Laboratory, University, Department)</w:t>
            </w:r>
          </w:p>
        </w:tc>
        <w:tc>
          <w:tcPr>
            <w:tcW w:w="5393" w:type="dxa"/>
            <w:tcBorders>
              <w:top w:val="single" w:sz="2" w:space="0" w:color="000000"/>
              <w:bottom w:val="single" w:sz="2" w:space="0" w:color="000000"/>
              <w:right w:val="single" w:sz="2" w:space="0" w:color="000000"/>
            </w:tcBorders>
            <w:shd w:color="auto" w:fill="auto" w:val="clear"/>
            <w:vAlign w:val="center"/>
          </w:tcPr>
          <w:p>
            <w:pPr>
              <w:pStyle w:val="Normal"/>
              <w:jc w:val="cente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r>
          </w:p>
        </w:tc>
      </w:tr>
      <w:tr>
        <w:trPr>
          <w:trHeight w:val="454" w:hRule="atLeast"/>
          <w:cnfStyle w:val="000000100000" w:firstRow="0" w:lastRow="0" w:firstColumn="0" w:lastColumn="0" w:oddVBand="0" w:evenVBand="0" w:oddHBand="1" w:evenHBand="0" w:firstRowFirstColumn="0" w:firstRowLastColumn="0" w:lastRowFirstColumn="0" w:lastRowLastColumn="0"/>
        </w:trPr>
        <w:tc>
          <w:tcPr>
            <w:tcW w:w="3534"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4" w:space="0" w:color="000000"/>
            </w:tcBorders>
            <w:shd w:color="auto" w:fill="E9F2D1" w:val="clear"/>
          </w:tcPr>
          <w:p>
            <w:pPr>
              <w:pStyle w:val="Normal"/>
              <w:jc w:val="left"/>
              <w:rPr>
                <w:rFonts w:ascii="Arial" w:hAnsi="Arial" w:eastAsia="ＭＳ ゴシック" w:cs="" w:cstheme="majorBidi" w:eastAsiaTheme="majorEastAsia"/>
                <w:b w:val="false"/>
                <w:b w:val="false"/>
                <w:bCs/>
                <w:sz w:val="16"/>
              </w:rPr>
            </w:pPr>
            <w:r>
              <w:rPr>
                <w:rFonts w:eastAsia="ＭＳ ゴシック" w:cs="" w:cstheme="majorBidi" w:eastAsiaTheme="majorEastAsia" w:ascii="Arial" w:hAnsi="Arial"/>
                <w:b w:val="false"/>
                <w:bCs/>
                <w:sz w:val="16"/>
              </w:rPr>
              <w:t>Email address</w:t>
            </w:r>
          </w:p>
        </w:tc>
        <w:tc>
          <w:tcPr>
            <w:tcW w:w="5393" w:type="dxa"/>
            <w:tcBorders>
              <w:top w:val="single" w:sz="2" w:space="0" w:color="000000"/>
              <w:bottom w:val="single" w:sz="4" w:space="0" w:color="000000"/>
              <w:right w:val="single" w:sz="2" w:space="0" w:color="000000"/>
            </w:tcBorders>
            <w:shd w:color="auto" w:fill="auto" w:val="clear"/>
            <w:vAlign w:val="center"/>
          </w:tcPr>
          <w:p>
            <w:pPr>
              <w:pStyle w:val="Normal"/>
              <w:jc w:val="center"/>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rPr>
            </w:r>
          </w:p>
        </w:tc>
      </w:tr>
      <w:tr>
        <w:trPr>
          <w:trHeight w:val="454" w:hRule="atLeast"/>
          <w:cnfStyle w:val="000000010000" w:firstRow="0" w:lastRow="0" w:firstColumn="0" w:lastColumn="0" w:oddVBand="0" w:evenVBand="0" w:oddHBand="0" w:evenHBand="1" w:firstRowFirstColumn="0" w:firstRowLastColumn="0" w:lastRowFirstColumn="0" w:lastRowLastColumn="0"/>
        </w:trPr>
        <w:tc>
          <w:tcPr>
            <w:tcW w:w="3534" w:type="dxa"/>
            <w:cnfStyle w:val="001000000000" w:firstRow="0" w:lastRow="0" w:firstColumn="1" w:lastColumn="0" w:oddVBand="0" w:evenVBand="0" w:oddHBand="0" w:evenHBand="0" w:firstRowFirstColumn="0" w:firstRowLastColumn="0" w:lastRowFirstColumn="0" w:lastRowLastColumn="0"/>
            <w:tcBorders>
              <w:top w:val="single" w:sz="4" w:space="0" w:color="000000"/>
              <w:left w:val="single" w:sz="2" w:space="0" w:color="000000"/>
              <w:bottom w:val="single" w:sz="2" w:space="0" w:color="000000"/>
            </w:tcBorders>
            <w:shd w:color="auto" w:fill="E9F2D1" w:val="clear"/>
          </w:tcPr>
          <w:p>
            <w:pPr>
              <w:pStyle w:val="Normal"/>
              <w:jc w:val="left"/>
              <w:rPr>
                <w:rFonts w:ascii="Arial" w:hAnsi="Arial" w:eastAsia="ＭＳ ゴシック" w:cs="" w:cstheme="majorBidi" w:eastAsiaTheme="majorEastAsia"/>
                <w:b w:val="false"/>
                <w:b w:val="false"/>
                <w:bCs/>
                <w:sz w:val="16"/>
              </w:rPr>
            </w:pPr>
            <w:r>
              <w:rPr>
                <w:rFonts w:eastAsia="ＭＳ ゴシック" w:cs="" w:cstheme="majorBidi" w:eastAsiaTheme="majorEastAsia" w:ascii="Arial" w:hAnsi="Arial"/>
                <w:b w:val="false"/>
                <w:bCs/>
                <w:sz w:val="16"/>
              </w:rPr>
              <w:t>Apply for (SEK)</w:t>
            </w:r>
          </w:p>
        </w:tc>
        <w:tc>
          <w:tcPr>
            <w:tcW w:w="5393" w:type="dxa"/>
            <w:tcBorders>
              <w:top w:val="single" w:sz="4" w:space="0" w:color="000000"/>
              <w:bottom w:val="single" w:sz="2" w:space="0" w:color="000000"/>
              <w:right w:val="single" w:sz="2" w:space="0" w:color="000000"/>
            </w:tcBorders>
            <w:shd w:color="auto" w:fill="auto" w:val="clear"/>
            <w:vAlign w:val="center"/>
          </w:tcPr>
          <w:p>
            <w:pPr>
              <w:pStyle w:val="Normal"/>
              <w:jc w:val="center"/>
              <w:cnfStyle w:val="000000010000" w:firstRow="0" w:lastRow="0" w:firstColumn="0" w:lastColumn="0" w:oddVBand="0" w:evenVBand="0" w:oddHBand="0" w:evenHBand="1" w:firstRowFirstColumn="0" w:firstRowLastColumn="0" w:lastRowFirstColumn="0" w:lastRowLastColumn="0"/>
              <w:rPr>
                <w:rFonts w:ascii="Arial" w:hAnsi="Arial"/>
              </w:rPr>
            </w:pPr>
            <w:r>
              <w:rPr>
                <w:rFonts w:ascii="Arial" w:hAnsi="Arial"/>
              </w:rPr>
            </w:r>
          </w:p>
        </w:tc>
      </w:tr>
    </w:tbl>
    <w:p>
      <w:pPr>
        <w:pStyle w:val="Normal"/>
        <w:rPr>
          <w:sz w:val="18"/>
          <w:szCs w:val="22"/>
          <w:lang w:val="en-GB"/>
        </w:rPr>
      </w:pPr>
      <w:r>
        <w:rPr>
          <w:sz w:val="18"/>
          <w:szCs w:val="22"/>
          <w:lang w:val="en-GB"/>
        </w:rPr>
        <mc:AlternateContent>
          <mc:Choice Requires="wps">
            <w:drawing>
              <wp:anchor behindDoc="0" distT="0" distB="0" distL="0" distR="0" simplePos="0" locked="0" layoutInCell="1" allowOverlap="1" relativeHeight="3" wp14:anchorId="1A442E31">
                <wp:simplePos x="0" y="0"/>
                <wp:positionH relativeFrom="margin">
                  <wp:posOffset>3175</wp:posOffset>
                </wp:positionH>
                <wp:positionV relativeFrom="paragraph">
                  <wp:posOffset>4051935</wp:posOffset>
                </wp:positionV>
                <wp:extent cx="6198235" cy="1969135"/>
                <wp:effectExtent l="0" t="0" r="12700" b="12700"/>
                <wp:wrapNone/>
                <wp:docPr id="3" name="Text Box 3"/>
                <a:graphic xmlns:a="http://schemas.openxmlformats.org/drawingml/2006/main">
                  <a:graphicData uri="http://schemas.microsoft.com/office/word/2010/wordprocessingShape">
                    <wps:wsp>
                      <wps:cNvSpPr/>
                      <wps:spPr>
                        <a:xfrm>
                          <a:off x="0" y="0"/>
                          <a:ext cx="6197760" cy="1968480"/>
                        </a:xfrm>
                        <a:prstGeom prst="rect">
                          <a:avLst/>
                        </a:prstGeom>
                        <a:solidFill>
                          <a:schemeClr val="lt1"/>
                        </a:solidFill>
                        <a:ln w="6480">
                          <a:solidFill>
                            <a:srgbClr val="000000"/>
                          </a:solidFill>
                          <a:round/>
                        </a:ln>
                      </wps:spPr>
                      <wps:style>
                        <a:lnRef idx="0"/>
                        <a:fillRef idx="0"/>
                        <a:effectRef idx="0"/>
                        <a:fontRef idx="minor"/>
                      </wps:style>
                      <wps:txbx>
                        <w:txbxContent>
                          <w:p>
                            <w:pPr>
                              <w:pStyle w:val="FrameContents"/>
                              <w:rPr>
                                <w:b/>
                                <w:b/>
                                <w:bCs/>
                                <w:szCs w:val="20"/>
                                <w:lang w:val="en-US"/>
                              </w:rPr>
                            </w:pPr>
                            <w:r>
                              <w:rPr>
                                <w:b/>
                                <w:bCs/>
                                <w:szCs w:val="20"/>
                                <w:lang w:val="en-US"/>
                              </w:rPr>
                              <w:t>Application</w:t>
                            </w:r>
                          </w:p>
                          <w:p>
                            <w:pPr>
                              <w:pStyle w:val="FrameContents"/>
                              <w:rPr>
                                <w:szCs w:val="20"/>
                                <w:lang w:val="en-US"/>
                              </w:rPr>
                            </w:pPr>
                            <w:r>
                              <w:rPr>
                                <w:szCs w:val="20"/>
                                <w:lang w:val="en-US"/>
                              </w:rPr>
                              <w:t>The application is a completed application form.</w:t>
                            </w:r>
                          </w:p>
                          <w:p>
                            <w:pPr>
                              <w:pStyle w:val="FrameContents"/>
                              <w:rPr>
                                <w:b/>
                                <w:b/>
                                <w:bCs/>
                                <w:szCs w:val="20"/>
                                <w:lang w:val="en-US"/>
                              </w:rPr>
                            </w:pPr>
                            <w:r>
                              <w:rPr>
                                <w:b/>
                                <w:bCs/>
                                <w:szCs w:val="20"/>
                                <w:lang w:val="en-US"/>
                              </w:rPr>
                            </w:r>
                          </w:p>
                          <w:p>
                            <w:pPr>
                              <w:pStyle w:val="FrameContents"/>
                              <w:rPr>
                                <w:b/>
                                <w:b/>
                                <w:bCs/>
                                <w:szCs w:val="20"/>
                                <w:lang w:val="en-US"/>
                              </w:rPr>
                            </w:pPr>
                            <w:r>
                              <w:rPr>
                                <w:b/>
                                <w:bCs/>
                                <w:szCs w:val="20"/>
                                <w:lang w:val="en-US"/>
                              </w:rPr>
                              <w:t>Evaluation criteria</w:t>
                            </w:r>
                          </w:p>
                          <w:p>
                            <w:pPr>
                              <w:pStyle w:val="FrameContents"/>
                              <w:suppressAutoHyphens w:val="true"/>
                              <w:rPr>
                                <w:szCs w:val="20"/>
                                <w:lang w:val="en-US"/>
                              </w:rPr>
                            </w:pPr>
                            <w:r>
                              <w:rPr>
                                <w:szCs w:val="20"/>
                                <w:lang w:val="en-US"/>
                              </w:rPr>
                              <w:t>All applications will be evaluated by the SciLifeLab management group and external evaluators. Decision of funding will be made by the SciLifeLab board on March 19, 2022.</w:t>
                            </w:r>
                          </w:p>
                          <w:p>
                            <w:pPr>
                              <w:pStyle w:val="FrameContents"/>
                              <w:rPr>
                                <w:szCs w:val="20"/>
                                <w:lang w:val="en-US"/>
                              </w:rPr>
                            </w:pPr>
                            <w:r>
                              <w:rPr>
                                <w:szCs w:val="20"/>
                                <w:lang w:val="en-US"/>
                              </w:rPr>
                            </w:r>
                          </w:p>
                          <w:p>
                            <w:pPr>
                              <w:pStyle w:val="FrameContents"/>
                              <w:rPr>
                                <w:szCs w:val="20"/>
                                <w:lang w:val="en-US"/>
                              </w:rPr>
                            </w:pPr>
                            <w:r>
                              <w:rPr>
                                <w:b/>
                                <w:bCs/>
                                <w:szCs w:val="20"/>
                                <w:lang w:val="en-US"/>
                              </w:rPr>
                              <w:t>Deadline for applications</w:t>
                            </w:r>
                            <w:r>
                              <w:rPr>
                                <w:szCs w:val="20"/>
                                <w:lang w:val="en-US"/>
                              </w:rPr>
                              <w:t xml:space="preserve">: Monday February 7, 2022, </w:t>
                            </w:r>
                            <w:r>
                              <w:rPr>
                                <w:szCs w:val="20"/>
                                <w:lang w:val="en-US"/>
                              </w:rPr>
                              <w:t>18:00 CET.</w:t>
                            </w:r>
                          </w:p>
                          <w:p>
                            <w:pPr>
                              <w:pStyle w:val="FrameContents"/>
                              <w:rPr>
                                <w:b/>
                                <w:b/>
                                <w:bCs/>
                                <w:szCs w:val="20"/>
                                <w:lang w:val="en-US"/>
                              </w:rPr>
                            </w:pPr>
                            <w:r>
                              <w:rPr>
                                <w:b/>
                                <w:bCs/>
                                <w:szCs w:val="20"/>
                                <w:lang w:val="en-US"/>
                              </w:rPr>
                            </w:r>
                          </w:p>
                          <w:p>
                            <w:pPr>
                              <w:pStyle w:val="FrameContents"/>
                              <w:rPr>
                                <w:szCs w:val="20"/>
                                <w:lang w:val="en-US"/>
                              </w:rPr>
                            </w:pPr>
                            <w:r>
                              <w:rPr>
                                <w:b/>
                                <w:bCs/>
                                <w:szCs w:val="20"/>
                                <w:lang w:val="en-US"/>
                              </w:rPr>
                              <w:t>Start of funding</w:t>
                            </w:r>
                            <w:r>
                              <w:rPr>
                                <w:szCs w:val="20"/>
                                <w:lang w:val="en-US"/>
                              </w:rPr>
                              <w:t>: April 1, 2022. Funds available until July 31, 2023.</w:t>
                            </w:r>
                          </w:p>
                          <w:p>
                            <w:pPr>
                              <w:pStyle w:val="FrameContents"/>
                              <w:rPr>
                                <w:lang w:val="en-US"/>
                              </w:rPr>
                            </w:pPr>
                            <w:r>
                              <w:rPr>
                                <w:lang w:val="en-US"/>
                              </w:rPr>
                            </w:r>
                          </w:p>
                          <w:p>
                            <w:pPr>
                              <w:pStyle w:val="FrameContents"/>
                              <w:rPr>
                                <w:szCs w:val="20"/>
                                <w:lang w:val="en-US"/>
                              </w:rPr>
                            </w:pPr>
                            <w:r>
                              <w:rPr>
                                <w:szCs w:val="20"/>
                                <w:lang w:val="en-US"/>
                              </w:rPr>
                            </w:r>
                          </w:p>
                          <w:p>
                            <w:pPr>
                              <w:pStyle w:val="FrameContents"/>
                              <w:rPr>
                                <w:lang w:val="en-US"/>
                              </w:rPr>
                            </w:pPr>
                            <w:r>
                              <w:rPr/>
                            </w:r>
                          </w:p>
                        </w:txbxContent>
                      </wps:txbx>
                      <wps:bodyPr>
                        <a:noAutofit/>
                      </wps:bodyPr>
                    </wps:wsp>
                  </a:graphicData>
                </a:graphic>
              </wp:anchor>
            </w:drawing>
          </mc:Choice>
          <mc:Fallback>
            <w:pict>
              <v:rect id="shape_0" ID="Text Box 3" fillcolor="white" stroked="t" style="position:absolute;margin-left:0.25pt;margin-top:319.05pt;width:487.95pt;height:154.95pt;mso-position-horizontal-relative:margin" wp14:anchorId="1A442E31">
                <w10:wrap type="square"/>
                <v:fill o:detectmouseclick="t" type="solid" color2="black"/>
                <v:stroke color="black" weight="6480" joinstyle="round" endcap="flat"/>
                <v:textbox>
                  <w:txbxContent>
                    <w:p>
                      <w:pPr>
                        <w:pStyle w:val="FrameContents"/>
                        <w:rPr>
                          <w:b/>
                          <w:b/>
                          <w:bCs/>
                          <w:szCs w:val="20"/>
                          <w:lang w:val="en-US"/>
                        </w:rPr>
                      </w:pPr>
                      <w:r>
                        <w:rPr>
                          <w:b/>
                          <w:bCs/>
                          <w:szCs w:val="20"/>
                          <w:lang w:val="en-US"/>
                        </w:rPr>
                        <w:t>Application</w:t>
                      </w:r>
                    </w:p>
                    <w:p>
                      <w:pPr>
                        <w:pStyle w:val="FrameContents"/>
                        <w:rPr>
                          <w:szCs w:val="20"/>
                          <w:lang w:val="en-US"/>
                        </w:rPr>
                      </w:pPr>
                      <w:r>
                        <w:rPr>
                          <w:szCs w:val="20"/>
                          <w:lang w:val="en-US"/>
                        </w:rPr>
                        <w:t>The application is a completed application form.</w:t>
                      </w:r>
                    </w:p>
                    <w:p>
                      <w:pPr>
                        <w:pStyle w:val="FrameContents"/>
                        <w:rPr>
                          <w:b/>
                          <w:b/>
                          <w:bCs/>
                          <w:szCs w:val="20"/>
                          <w:lang w:val="en-US"/>
                        </w:rPr>
                      </w:pPr>
                      <w:r>
                        <w:rPr>
                          <w:b/>
                          <w:bCs/>
                          <w:szCs w:val="20"/>
                          <w:lang w:val="en-US"/>
                        </w:rPr>
                      </w:r>
                    </w:p>
                    <w:p>
                      <w:pPr>
                        <w:pStyle w:val="FrameContents"/>
                        <w:rPr>
                          <w:b/>
                          <w:b/>
                          <w:bCs/>
                          <w:szCs w:val="20"/>
                          <w:lang w:val="en-US"/>
                        </w:rPr>
                      </w:pPr>
                      <w:r>
                        <w:rPr>
                          <w:b/>
                          <w:bCs/>
                          <w:szCs w:val="20"/>
                          <w:lang w:val="en-US"/>
                        </w:rPr>
                        <w:t>Evaluation criteria</w:t>
                      </w:r>
                    </w:p>
                    <w:p>
                      <w:pPr>
                        <w:pStyle w:val="FrameContents"/>
                        <w:suppressAutoHyphens w:val="true"/>
                        <w:rPr>
                          <w:szCs w:val="20"/>
                          <w:lang w:val="en-US"/>
                        </w:rPr>
                      </w:pPr>
                      <w:r>
                        <w:rPr>
                          <w:szCs w:val="20"/>
                          <w:lang w:val="en-US"/>
                        </w:rPr>
                        <w:t>All applications will be evaluated by the SciLifeLab management group and external evaluators. Decision of funding will be made by the SciLifeLab board on March 19, 2022.</w:t>
                      </w:r>
                    </w:p>
                    <w:p>
                      <w:pPr>
                        <w:pStyle w:val="FrameContents"/>
                        <w:rPr>
                          <w:szCs w:val="20"/>
                          <w:lang w:val="en-US"/>
                        </w:rPr>
                      </w:pPr>
                      <w:r>
                        <w:rPr>
                          <w:szCs w:val="20"/>
                          <w:lang w:val="en-US"/>
                        </w:rPr>
                      </w:r>
                    </w:p>
                    <w:p>
                      <w:pPr>
                        <w:pStyle w:val="FrameContents"/>
                        <w:rPr>
                          <w:szCs w:val="20"/>
                          <w:lang w:val="en-US"/>
                        </w:rPr>
                      </w:pPr>
                      <w:r>
                        <w:rPr>
                          <w:b/>
                          <w:bCs/>
                          <w:szCs w:val="20"/>
                          <w:lang w:val="en-US"/>
                        </w:rPr>
                        <w:t>Deadline for applications</w:t>
                      </w:r>
                      <w:r>
                        <w:rPr>
                          <w:szCs w:val="20"/>
                          <w:lang w:val="en-US"/>
                        </w:rPr>
                        <w:t xml:space="preserve">: Monday February 7, 2022, </w:t>
                      </w:r>
                      <w:r>
                        <w:rPr>
                          <w:szCs w:val="20"/>
                          <w:lang w:val="en-US"/>
                        </w:rPr>
                        <w:t>18:00 CET.</w:t>
                      </w:r>
                    </w:p>
                    <w:p>
                      <w:pPr>
                        <w:pStyle w:val="FrameContents"/>
                        <w:rPr>
                          <w:b/>
                          <w:b/>
                          <w:bCs/>
                          <w:szCs w:val="20"/>
                          <w:lang w:val="en-US"/>
                        </w:rPr>
                      </w:pPr>
                      <w:r>
                        <w:rPr>
                          <w:b/>
                          <w:bCs/>
                          <w:szCs w:val="20"/>
                          <w:lang w:val="en-US"/>
                        </w:rPr>
                      </w:r>
                    </w:p>
                    <w:p>
                      <w:pPr>
                        <w:pStyle w:val="FrameContents"/>
                        <w:rPr>
                          <w:szCs w:val="20"/>
                          <w:lang w:val="en-US"/>
                        </w:rPr>
                      </w:pPr>
                      <w:r>
                        <w:rPr>
                          <w:b/>
                          <w:bCs/>
                          <w:szCs w:val="20"/>
                          <w:lang w:val="en-US"/>
                        </w:rPr>
                        <w:t>Start of funding</w:t>
                      </w:r>
                      <w:r>
                        <w:rPr>
                          <w:szCs w:val="20"/>
                          <w:lang w:val="en-US"/>
                        </w:rPr>
                        <w:t>: April 1, 2022. Funds available until July 31, 2023.</w:t>
                      </w:r>
                    </w:p>
                    <w:p>
                      <w:pPr>
                        <w:pStyle w:val="FrameContents"/>
                        <w:rPr>
                          <w:lang w:val="en-US"/>
                        </w:rPr>
                      </w:pPr>
                      <w:r>
                        <w:rPr>
                          <w:lang w:val="en-US"/>
                        </w:rPr>
                      </w:r>
                    </w:p>
                    <w:p>
                      <w:pPr>
                        <w:pStyle w:val="FrameContents"/>
                        <w:rPr>
                          <w:szCs w:val="20"/>
                          <w:lang w:val="en-US"/>
                        </w:rPr>
                      </w:pPr>
                      <w:r>
                        <w:rPr>
                          <w:szCs w:val="20"/>
                          <w:lang w:val="en-US"/>
                        </w:rPr>
                      </w:r>
                    </w:p>
                    <w:p>
                      <w:pPr>
                        <w:pStyle w:val="FrameContents"/>
                        <w:rPr>
                          <w:lang w:val="en-US"/>
                        </w:rPr>
                      </w:pPr>
                      <w:r>
                        <w:rPr/>
                      </w:r>
                    </w:p>
                  </w:txbxContent>
                </v:textbox>
              </v:rect>
            </w:pict>
          </mc:Fallback>
        </mc:AlternateContent>
      </w:r>
      <w:r>
        <w:br w:type="page"/>
      </w:r>
    </w:p>
    <w:p>
      <w:pPr>
        <w:pStyle w:val="Normal"/>
        <w:rPr>
          <w:sz w:val="18"/>
          <w:szCs w:val="22"/>
          <w:lang w:val="en-GB"/>
        </w:rPr>
      </w:pPr>
      <w:r>
        <w:rPr>
          <w:sz w:val="18"/>
          <w:szCs w:val="22"/>
          <w:lang w:val="en-GB"/>
        </w:rPr>
      </w:r>
    </w:p>
    <w:p>
      <w:pPr>
        <w:pStyle w:val="Normal"/>
        <w:rPr>
          <w:sz w:val="18"/>
          <w:szCs w:val="22"/>
          <w:lang w:val="en-GB"/>
        </w:rPr>
      </w:pPr>
      <w:r>
        <w:rPr>
          <w:sz w:val="18"/>
          <w:szCs w:val="22"/>
          <w:lang w:val="en-GB"/>
        </w:rPr>
      </w:r>
    </w:p>
    <w:p>
      <w:pPr>
        <w:pStyle w:val="Normal"/>
        <w:rPr>
          <w:rFonts w:ascii="Arial" w:hAnsi="Arial" w:cs="Arial"/>
          <w:b/>
          <w:b/>
          <w:sz w:val="22"/>
          <w:szCs w:val="22"/>
          <w:lang w:val="en-GB"/>
        </w:rPr>
      </w:pPr>
      <w:r>
        <w:rPr>
          <w:rFonts w:cs="Arial" w:ascii="Arial" w:hAnsi="Arial"/>
          <w:b/>
          <w:sz w:val="22"/>
          <w:szCs w:val="22"/>
          <w:lang w:val="en-GB"/>
        </w:rPr>
      </w:r>
    </w:p>
    <w:p>
      <w:pPr>
        <w:pStyle w:val="Normal"/>
        <w:rPr>
          <w:rFonts w:ascii="Arial" w:hAnsi="Arial" w:cs="Arial"/>
          <w:b/>
          <w:b/>
          <w:sz w:val="22"/>
          <w:szCs w:val="22"/>
          <w:lang w:val="en-GB"/>
        </w:rPr>
      </w:pPr>
      <w:r>
        <w:rPr>
          <w:rFonts w:cs="Arial" w:ascii="Arial" w:hAnsi="Arial"/>
          <w:b/>
          <w:sz w:val="22"/>
          <w:szCs w:val="22"/>
          <w:lang w:val="en-GB"/>
        </w:rPr>
        <w:t xml:space="preserve">Letter of intent </w:t>
      </w:r>
      <w:r>
        <w:rPr>
          <w:rFonts w:cs="Arial" w:ascii="Arial" w:hAnsi="Arial"/>
          <w:i/>
          <w:sz w:val="22"/>
          <w:szCs w:val="22"/>
          <w:lang w:val="en-GB"/>
        </w:rPr>
        <w:t>(Arial, font 10 pt.)</w:t>
      </w:r>
    </w:p>
    <w:p>
      <w:pPr>
        <w:pStyle w:val="Normal"/>
        <w:rPr>
          <w:rFonts w:ascii="Arial" w:hAnsi="Arial" w:cs="Arial"/>
          <w:b/>
          <w:b/>
          <w:sz w:val="22"/>
          <w:szCs w:val="22"/>
          <w:lang w:val="en-GB"/>
        </w:rPr>
      </w:pPr>
      <w:r>
        <w:rPr>
          <w:rFonts w:cs="Arial" w:ascii="Arial" w:hAnsi="Arial"/>
          <w:b/>
          <w:sz w:val="22"/>
          <w:szCs w:val="22"/>
          <w:lang w:val="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GB" w:eastAsia="en-GB"/>
        </w:rPr>
        <w:t>1.</w:t>
      </w:r>
      <w:r>
        <w:rPr>
          <w:rFonts w:eastAsia="Times New Roman" w:cs="Arial" w:ascii="Arial" w:hAnsi="Arial"/>
          <w:color w:val="000000"/>
          <w:szCs w:val="20"/>
          <w:lang w:val="en-US" w:eastAsia="en-GB"/>
        </w:rPr>
        <w:t xml:space="preserve"> Short summary of the suggested capability, method development, research and education and why that is important in Pandemic Laboratory Preparedness</w:t>
        <w:br/>
      </w:r>
    </w:p>
    <w:p>
      <w:pPr>
        <w:pStyle w:val="Normal"/>
        <w:cnfStyle w:val="101000000000" w:firstRow="1" w:lastRow="0" w:firstColumn="1" w:lastColumn="0" w:oddVBand="0" w:evenVBand="0" w:oddHBand="0" w:evenHBand="0" w:firstRowFirstColumn="0" w:firstRowLastColumn="0" w:lastRowFirstColumn="0" w:lastRowLastColumn="0"/>
        <w:rPr>
          <w:rFonts w:ascii="Arial" w:hAnsi="Arial" w:eastAsia="Times New Roman" w:cs="Arial"/>
          <w:bCs/>
          <w:color w:val="000000"/>
          <w:szCs w:val="20"/>
          <w:lang w:val="en-US" w:eastAsia="en-GB"/>
        </w:rPr>
      </w:pPr>
      <w:r>
        <w:rPr>
          <w:rFonts w:eastAsia="Times New Roman" w:cs="Arial" w:ascii="Arial" w:hAnsi="Arial"/>
          <w:color w:val="000000"/>
          <w:szCs w:val="20"/>
          <w:lang w:val="en-US" w:eastAsia="en-GB"/>
        </w:rPr>
        <w:t>2. Plans for the year (2022, April 1</w:t>
      </w:r>
      <w:r>
        <w:rPr>
          <w:rFonts w:eastAsia="Times New Roman" w:cs="Arial" w:ascii="Arial" w:hAnsi="Arial"/>
          <w:color w:val="000000"/>
          <w:szCs w:val="20"/>
          <w:vertAlign w:val="superscript"/>
          <w:lang w:val="en-US" w:eastAsia="en-GB"/>
        </w:rPr>
        <w:t>st</w:t>
      </w:r>
      <w:r>
        <w:rPr>
          <w:rFonts w:eastAsia="Times New Roman" w:cs="Arial" w:ascii="Arial" w:hAnsi="Arial"/>
          <w:color w:val="000000"/>
          <w:szCs w:val="20"/>
          <w:lang w:val="en-US" w:eastAsia="en-GB"/>
        </w:rPr>
        <w:t xml:space="preserve"> to April 1</w:t>
      </w:r>
      <w:r>
        <w:rPr>
          <w:rFonts w:eastAsia="Times New Roman" w:cs="Arial" w:ascii="Arial" w:hAnsi="Arial"/>
          <w:color w:val="000000"/>
          <w:szCs w:val="20"/>
          <w:vertAlign w:val="superscript"/>
          <w:lang w:val="en-US" w:eastAsia="en-GB"/>
        </w:rPr>
        <w:t>st</w:t>
      </w:r>
      <w:r>
        <w:rPr>
          <w:rFonts w:eastAsia="Times New Roman" w:cs="Arial" w:ascii="Arial" w:hAnsi="Arial"/>
          <w:color w:val="000000"/>
          <w:szCs w:val="20"/>
          <w:lang w:val="en-US" w:eastAsia="en-GB"/>
        </w:rPr>
        <w:t>, 2023) including clear description on how and why the proposal for pandemic preparedness will be established (max 2 pages).</w:t>
      </w:r>
    </w:p>
    <w:p>
      <w:pPr>
        <w:pStyle w:val="Normal"/>
        <w:cnfStyle w:val="001000010000" w:firstRow="0" w:lastRow="0" w:firstColumn="1" w:lastColumn="0" w:oddVBand="0" w:evenVBand="0" w:oddHBand="0" w:evenHBand="1" w:firstRowFirstColumn="0" w:firstRowLastColumn="0" w:lastRowFirstColumn="0" w:lastRowLastColumn="0"/>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br/>
        <w:br/>
        <w:t xml:space="preserve">3. Budget for the TDP 2022/2023 and budget justification. Max 1 million SEK total costs. </w:t>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t>4. How the proposed capability could be funded in 2024 and beyond and from which sources (max 0.5 page)</w:t>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t xml:space="preserve">5. How FAIR data principles (Findable, Accessible, Interoperable, Reusable) and data sharing are planned (max 0.5 page)  </w:t>
      </w:r>
    </w:p>
    <w:p>
      <w:pPr>
        <w:pStyle w:val="Normal"/>
        <w:rPr>
          <w:rFonts w:ascii="Arial" w:hAnsi="Arial" w:cs="Arial"/>
          <w:szCs w:val="20"/>
          <w:lang w:val="en-GB"/>
        </w:rPr>
      </w:pPr>
      <w:r>
        <w:rPr>
          <w:rFonts w:cs="Arial" w:ascii="Arial" w:hAnsi="Arial"/>
          <w:szCs w:val="20"/>
          <w:lang w:val="en-GB"/>
        </w:rPr>
      </w:r>
    </w:p>
    <w:p>
      <w:pPr>
        <w:pStyle w:val="Normal"/>
        <w:rPr>
          <w:rFonts w:ascii="Arial" w:hAnsi="Arial" w:cs="Arial"/>
          <w:szCs w:val="20"/>
          <w:lang w:val="en-GB"/>
        </w:rPr>
      </w:pPr>
      <w:r>
        <w:rPr>
          <w:rFonts w:cs="Arial" w:ascii="Arial" w:hAnsi="Arial"/>
          <w:szCs w:val="20"/>
          <w:lang w:val="en-GB"/>
        </w:rPr>
        <w:t xml:space="preserve">6. </w:t>
      </w:r>
      <w:r>
        <w:rPr>
          <w:rFonts w:eastAsia="Times New Roman" w:cs="Arial" w:ascii="Arial" w:hAnsi="Arial"/>
          <w:color w:val="000000"/>
          <w:szCs w:val="20"/>
          <w:lang w:val="en-US" w:eastAsia="en-GB"/>
        </w:rPr>
        <w:t>Short CV and relevant top publications/patents of the main PI (max 1 page)</w:t>
      </w:r>
      <w:r>
        <w:rPr>
          <w:rFonts w:cs="Arial" w:ascii="Arial" w:hAnsi="Arial"/>
          <w:szCs w:val="20"/>
          <w:lang w:val="en-GB"/>
        </w:rPr>
        <w:tab/>
      </w:r>
    </w:p>
    <w:p>
      <w:pPr>
        <w:pStyle w:val="Normal"/>
        <w:rPr>
          <w:rFonts w:ascii="Arial" w:hAnsi="Arial" w:cs="Arial"/>
          <w:i/>
          <w:i/>
          <w:szCs w:val="20"/>
          <w:lang w:val="en-GB"/>
        </w:rPr>
      </w:pPr>
      <w:r>
        <w:rPr>
          <w:rFonts w:cs="Arial" w:ascii="Arial" w:hAnsi="Arial"/>
          <w:i/>
          <w:szCs w:val="20"/>
          <w:lang w:val="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t>7. Short paragraph of the merits of co-PIs and other parties, including e.g. health care, companies, government or SciLifeLab infrastructure and/or data center/portal (max 1 page)</w:t>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lang w:val="en-US" w:eastAsia="en-GB"/>
        </w:rPr>
      </w:pPr>
      <w:r>
        <w:rPr>
          <w:rFonts w:eastAsia="Times New Roman" w:cs="Arial" w:ascii="Arial" w:hAnsi="Arial"/>
          <w:color w:val="000000"/>
          <w:lang w:val="en-US" w:eastAsia="en-GB"/>
        </w:rPr>
      </w:r>
    </w:p>
    <w:tbl>
      <w:tblPr>
        <w:tblStyle w:val="LightGrid-Accent3"/>
        <w:tblW w:w="8907" w:type="dxa"/>
        <w:jc w:val="left"/>
        <w:tblInd w:w="0" w:type="dxa"/>
        <w:tblCellMar>
          <w:top w:w="0" w:type="dxa"/>
          <w:left w:w="70" w:type="dxa"/>
          <w:bottom w:w="0" w:type="dxa"/>
          <w:right w:w="70" w:type="dxa"/>
        </w:tblCellMar>
        <w:tblLook w:val="04a0" w:noHBand="0" w:noVBand="1" w:firstColumn="1" w:lastRow="0" w:lastColumn="0" w:firstRow="1"/>
      </w:tblPr>
      <w:tblGrid>
        <w:gridCol w:w="4876"/>
        <w:gridCol w:w="1534"/>
        <w:gridCol w:w="2497"/>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8907" w:type="dxa"/>
            <w:gridSpan w:val="3"/>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D3E4A3" w:val="clear"/>
          </w:tcPr>
          <w:p>
            <w:pPr>
              <w:pStyle w:val="Normal"/>
              <w:spacing w:before="0" w:after="0"/>
              <w:jc w:val="left"/>
              <w:rPr>
                <w:rFonts w:eastAsia="Times New Roman" w:cs="Arial"/>
                <w:bCs w:val="false"/>
                <w:color w:val="000000"/>
                <w:szCs w:val="20"/>
                <w:lang w:val="en-GB" w:eastAsia="en-GB"/>
              </w:rPr>
            </w:pPr>
            <w:r>
              <w:rPr>
                <w:rFonts w:eastAsia="Times New Roman" w:cs="Arial" w:ascii="Arial" w:hAnsi="Arial"/>
                <w:b/>
                <w:bCs w:val="false"/>
                <w:color w:val="000000"/>
                <w:sz w:val="20"/>
                <w:szCs w:val="20"/>
                <w:lang w:val="en-GB" w:eastAsia="en-GB"/>
              </w:rPr>
            </w:r>
          </w:p>
          <w:p>
            <w:pPr>
              <w:pStyle w:val="Normal"/>
              <w:spacing w:before="0" w:after="0"/>
              <w:jc w:val="left"/>
              <w:rPr>
                <w:rFonts w:eastAsia="Times New Roman" w:cs="Arial"/>
                <w:color w:val="000000"/>
                <w:szCs w:val="20"/>
                <w:lang w:val="en-US" w:eastAsia="en-GB"/>
              </w:rPr>
            </w:pPr>
            <w:r>
              <w:rPr>
                <w:rFonts w:eastAsia="Times New Roman" w:cs="Arial" w:ascii="Arial" w:hAnsi="Arial"/>
                <w:b w:val="false"/>
                <w:bCs/>
                <w:color w:val="000000"/>
                <w:sz w:val="20"/>
                <w:szCs w:val="20"/>
                <w:lang w:val="en-GB" w:eastAsia="en-GB"/>
              </w:rPr>
              <w:t>1.</w:t>
            </w:r>
            <w:r>
              <w:rPr>
                <w:rFonts w:eastAsia="Times New Roman" w:cs="Arial" w:ascii="Arial" w:hAnsi="Arial"/>
                <w:b w:val="false"/>
                <w:bCs/>
                <w:color w:val="000000"/>
                <w:sz w:val="20"/>
                <w:szCs w:val="20"/>
                <w:lang w:val="en-US" w:eastAsia="en-GB"/>
              </w:rPr>
              <w:t xml:space="preserve"> </w:t>
            </w:r>
            <w:r>
              <w:rPr>
                <w:rFonts w:eastAsia="Times New Roman" w:cs="Arial" w:ascii="Arial" w:hAnsi="Arial"/>
                <w:b w:val="false"/>
                <w:bCs w:val="false"/>
                <w:color w:val="000000"/>
                <w:sz w:val="20"/>
                <w:szCs w:val="20"/>
                <w:lang w:val="en-US" w:eastAsia="en-GB"/>
              </w:rPr>
              <w:t>Short summary of the suggested capability, method development, research and education and why that is important in Pandemic Laboratory Preparedness (max 0.5 page).</w:t>
            </w:r>
          </w:p>
          <w:p>
            <w:pPr>
              <w:pStyle w:val="Normal"/>
              <w:spacing w:before="0" w:after="0"/>
              <w:jc w:val="left"/>
              <w:rPr>
                <w:b w:val="false"/>
                <w:b w:val="false"/>
                <w:lang w:val="en-US"/>
              </w:rPr>
            </w:pPr>
            <w:r>
              <w:rPr>
                <w:rFonts w:eastAsia="ＭＳ ゴシック" w:cs="" w:cstheme="majorBidi" w:eastAsiaTheme="majorEastAsia" w:ascii="Arial" w:hAnsi="Arial"/>
                <w:b w:val="false"/>
                <w:bCs/>
                <w:sz w:val="20"/>
                <w:lang w:val="en-US"/>
              </w:rPr>
            </w:r>
          </w:p>
        </w:tc>
      </w:tr>
      <w:tr>
        <w:trPr>
          <w:trHeight w:val="4472" w:hRule="atLeast"/>
          <w:cnfStyle w:val="000000100000" w:firstRow="0" w:lastRow="0" w:firstColumn="0" w:lastColumn="0" w:oddVBand="0" w:evenVBand="0" w:oddHBand="1" w:evenHBand="0" w:firstRowFirstColumn="0" w:firstRowLastColumn="0" w:lastRowFirstColumn="0" w:lastRowLastColumn="0"/>
        </w:trPr>
        <w:tc>
          <w:tcPr>
            <w:tcW w:w="8907" w:type="dxa"/>
            <w:gridSpan w:val="3"/>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auto" w:val="clear"/>
          </w:tcPr>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p>
            <w:pPr>
              <w:pStyle w:val="Normal"/>
              <w:jc w:val="left"/>
              <w:rPr>
                <w:lang w:val="en-US"/>
              </w:rPr>
            </w:pPr>
            <w:r>
              <w:rPr>
                <w:rFonts w:eastAsia="ＭＳ ゴシック" w:cs="" w:cstheme="majorBidi" w:eastAsiaTheme="majorEastAsia" w:ascii="Arial" w:hAnsi="Arial"/>
                <w:b w:val="false"/>
                <w:bCs/>
                <w:sz w:val="16"/>
                <w:lang w:val="en-US"/>
              </w:rPr>
            </w:r>
          </w:p>
        </w:tc>
      </w:tr>
      <w:tr>
        <w:trPr>
          <w:trHeight w:val="847" w:hRule="atLeast"/>
          <w:cnfStyle w:val="000000010000" w:firstRow="0" w:lastRow="0" w:firstColumn="0" w:lastColumn="0" w:oddVBand="0" w:evenVBand="0" w:oddHBand="0" w:evenHBand="1" w:firstRowFirstColumn="0" w:firstRowLastColumn="0" w:lastRowFirstColumn="0" w:lastRowLastColumn="0"/>
        </w:trPr>
        <w:tc>
          <w:tcPr>
            <w:tcW w:w="8907" w:type="dxa"/>
            <w:gridSpan w:val="3"/>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D3E4A3" w:val="clear"/>
          </w:tcPr>
          <w:p>
            <w:pPr>
              <w:pStyle w:val="Normal"/>
              <w:jc w:val="left"/>
              <w:rPr>
                <w:rFonts w:eastAsia="Times New Roman" w:cs="Arial"/>
                <w:bCs w:val="false"/>
                <w:color w:val="000000"/>
                <w:szCs w:val="20"/>
                <w:lang w:val="en-US" w:eastAsia="en-GB"/>
              </w:rPr>
            </w:pPr>
            <w:r>
              <w:rPr>
                <w:rFonts w:eastAsia="Times New Roman" w:cs="Arial" w:ascii="Arial" w:hAnsi="Arial"/>
                <w:b w:val="false"/>
                <w:bCs w:val="false"/>
                <w:color w:val="000000"/>
                <w:sz w:val="16"/>
                <w:szCs w:val="20"/>
                <w:lang w:val="en-US" w:eastAsia="en-GB"/>
              </w:rPr>
            </w:r>
          </w:p>
          <w:p>
            <w:pPr>
              <w:pStyle w:val="Normal"/>
              <w:jc w:val="left"/>
              <w:rPr>
                <w:rFonts w:eastAsia="Times New Roman" w:cs="Arial"/>
                <w:bCs w:val="false"/>
                <w:color w:val="000000"/>
                <w:szCs w:val="20"/>
                <w:lang w:val="en-US" w:eastAsia="en-GB"/>
              </w:rPr>
            </w:pPr>
            <w:r>
              <w:rPr>
                <w:rFonts w:eastAsia="Times New Roman" w:cs="Arial" w:ascii="Arial" w:hAnsi="Arial"/>
                <w:b w:val="false"/>
                <w:bCs/>
                <w:color w:val="000000"/>
                <w:sz w:val="16"/>
                <w:szCs w:val="20"/>
                <w:lang w:val="en-US" w:eastAsia="en-GB"/>
              </w:rPr>
              <w:t>2. Plans for the year (2022, April 1</w:t>
            </w:r>
            <w:r>
              <w:rPr>
                <w:rFonts w:eastAsia="Times New Roman" w:cs="Arial" w:ascii="Arial" w:hAnsi="Arial"/>
                <w:b w:val="false"/>
                <w:bCs/>
                <w:color w:val="000000"/>
                <w:sz w:val="16"/>
                <w:szCs w:val="20"/>
                <w:vertAlign w:val="superscript"/>
                <w:lang w:val="en-US" w:eastAsia="en-GB"/>
              </w:rPr>
              <w:t>st</w:t>
            </w:r>
            <w:r>
              <w:rPr>
                <w:rFonts w:eastAsia="Times New Roman" w:cs="Arial" w:ascii="Arial" w:hAnsi="Arial"/>
                <w:b w:val="false"/>
                <w:bCs/>
                <w:color w:val="000000"/>
                <w:sz w:val="16"/>
                <w:szCs w:val="20"/>
                <w:lang w:val="en-US" w:eastAsia="en-GB"/>
              </w:rPr>
              <w:t xml:space="preserve"> to April 1</w:t>
            </w:r>
            <w:r>
              <w:rPr>
                <w:rFonts w:eastAsia="Times New Roman" w:cs="Arial" w:ascii="Arial" w:hAnsi="Arial"/>
                <w:b w:val="false"/>
                <w:bCs/>
                <w:color w:val="000000"/>
                <w:sz w:val="16"/>
                <w:szCs w:val="20"/>
                <w:vertAlign w:val="superscript"/>
                <w:lang w:val="en-US" w:eastAsia="en-GB"/>
              </w:rPr>
              <w:t>st</w:t>
            </w:r>
            <w:r>
              <w:rPr>
                <w:rFonts w:eastAsia="Times New Roman" w:cs="Arial" w:ascii="Arial" w:hAnsi="Arial"/>
                <w:b w:val="false"/>
                <w:bCs/>
                <w:color w:val="000000"/>
                <w:sz w:val="16"/>
                <w:szCs w:val="20"/>
                <w:lang w:val="en-US" w:eastAsia="en-GB"/>
              </w:rPr>
              <w:t>, 2023) including clear description on how and why the proposal for pandemic preparedness will be established (max 2 pages).</w:t>
            </w:r>
          </w:p>
          <w:p>
            <w:pPr>
              <w:pStyle w:val="Normal"/>
              <w:jc w:val="left"/>
              <w:rPr>
                <w:b/>
                <w:b/>
                <w:lang w:val="en-US"/>
              </w:rPr>
            </w:pPr>
            <w:r>
              <w:rPr>
                <w:rFonts w:eastAsia="ＭＳ ゴシック" w:cs="" w:cstheme="majorBidi" w:eastAsiaTheme="majorEastAsia" w:ascii="Arial" w:hAnsi="Arial"/>
                <w:b/>
                <w:bCs/>
                <w:sz w:val="16"/>
                <w:lang w:val="en-US"/>
              </w:rPr>
            </w:r>
          </w:p>
        </w:tc>
      </w:tr>
      <w:tr>
        <w:trPr>
          <w:trHeight w:val="11921" w:hRule="atLeast"/>
          <w:cnfStyle w:val="000000100000" w:firstRow="0" w:lastRow="0" w:firstColumn="0" w:lastColumn="0" w:oddVBand="0" w:evenVBand="0" w:oddHBand="1" w:evenHBand="0" w:firstRowFirstColumn="0" w:firstRowLastColumn="0" w:lastRowFirstColumn="0" w:lastRowLastColumn="0"/>
        </w:trPr>
        <w:tc>
          <w:tcPr>
            <w:tcW w:w="8907" w:type="dxa"/>
            <w:gridSpan w:val="3"/>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auto" w:val="clear"/>
          </w:tcPr>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tc>
      </w:tr>
      <w:tr>
        <w:trPr>
          <w:trHeight w:val="454" w:hRule="atLeast"/>
          <w:cnfStyle w:val="000000010000" w:firstRow="0" w:lastRow="0" w:firstColumn="0" w:lastColumn="0" w:oddVBand="0" w:evenVBand="0" w:oddHBand="0" w:evenHBand="1" w:firstRowFirstColumn="0" w:firstRowLastColumn="0" w:lastRowFirstColumn="0" w:lastRowLastColumn="0"/>
        </w:trPr>
        <w:tc>
          <w:tcPr>
            <w:tcW w:w="8907" w:type="dxa"/>
            <w:gridSpan w:val="3"/>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D3E4A3" w:val="clear"/>
          </w:tcPr>
          <w:p>
            <w:pPr>
              <w:pStyle w:val="Normal"/>
              <w:jc w:val="left"/>
              <w:rPr>
                <w:rFonts w:eastAsia="Times New Roman" w:cs="Arial"/>
                <w:bCs w:val="false"/>
                <w:color w:val="000000"/>
                <w:szCs w:val="20"/>
                <w:lang w:val="en-US" w:eastAsia="en-GB"/>
              </w:rPr>
            </w:pPr>
            <w:r>
              <w:rPr>
                <w:rFonts w:eastAsia="Times New Roman" w:cs="Arial" w:ascii="Arial" w:hAnsi="Arial"/>
                <w:b w:val="false"/>
                <w:bCs w:val="false"/>
                <w:color w:val="000000"/>
                <w:sz w:val="16"/>
                <w:szCs w:val="20"/>
                <w:lang w:val="en-US" w:eastAsia="en-GB"/>
              </w:rPr>
            </w:r>
          </w:p>
          <w:p>
            <w:pPr>
              <w:pStyle w:val="Normal"/>
              <w:jc w:val="left"/>
              <w:rPr>
                <w:rFonts w:eastAsia="Times New Roman" w:cs="Arial"/>
                <w:color w:val="000000"/>
                <w:szCs w:val="20"/>
                <w:lang w:val="en-US" w:eastAsia="en-GB"/>
              </w:rPr>
            </w:pPr>
            <w:r>
              <w:rPr>
                <w:rFonts w:eastAsia="Times New Roman" w:cs="Arial" w:ascii="Arial" w:hAnsi="Arial"/>
                <w:b w:val="false"/>
                <w:bCs/>
                <w:color w:val="000000"/>
                <w:sz w:val="16"/>
                <w:szCs w:val="20"/>
                <w:lang w:val="en-US" w:eastAsia="en-GB"/>
              </w:rPr>
              <w:t xml:space="preserve">3. Budget for the TDP 2022/2023 and budget justification. Max 1 million SEK total costs. </w:t>
            </w:r>
          </w:p>
          <w:p>
            <w:pPr>
              <w:pStyle w:val="Normal"/>
              <w:jc w:val="left"/>
              <w:rPr>
                <w:lang w:val="en-US"/>
              </w:rPr>
            </w:pPr>
            <w:r>
              <w:rPr>
                <w:rFonts w:eastAsia="ＭＳ ゴシック" w:cs="" w:cstheme="majorBidi" w:eastAsiaTheme="majorEastAsia" w:ascii="Arial" w:hAnsi="Arial"/>
                <w:b w:val="false"/>
                <w:bCs/>
                <w:sz w:val="16"/>
                <w:lang w:val="en-US"/>
              </w:rPr>
            </w:r>
          </w:p>
        </w:tc>
      </w:tr>
      <w:tr>
        <w:trPr>
          <w:trHeight w:val="558" w:hRule="atLeast"/>
        </w:trPr>
        <w:tc>
          <w:tcPr>
            <w:tcW w:w="6410" w:type="dxa"/>
            <w:gridSpan w:val="2"/>
            <w:tcBorders/>
            <w:shd w:color="auto" w:fill="E5E5E5" w:val="clear"/>
            <w:vAlign w:val="bottom"/>
          </w:tcPr>
          <w:p>
            <w:pPr>
              <w:pStyle w:val="Normal"/>
              <w:jc w:val="left"/>
              <w:rPr>
                <w:rFonts w:eastAsia="Times New Roman"/>
                <w:szCs w:val="20"/>
                <w:lang w:val="en-US"/>
              </w:rPr>
            </w:pPr>
            <w:r>
              <w:rPr>
                <w:rFonts w:eastAsia="Times New Roman" w:cs="Arial" w:ascii="Arial" w:hAnsi="Arial"/>
                <w:b/>
                <w:bCs/>
                <w:color w:val="000000"/>
                <w:sz w:val="16"/>
                <w:szCs w:val="20"/>
                <w:lang w:val="en-US"/>
              </w:rPr>
              <w:t>COSTS</w:t>
            </w:r>
          </w:p>
        </w:tc>
        <w:tc>
          <w:tcPr>
            <w:tcW w:w="2497" w:type="dxa"/>
            <w:tcBorders/>
            <w:shd w:color="auto" w:fill="E5E5E5" w:val="clear"/>
            <w:vAlign w:val="bottom"/>
          </w:tcPr>
          <w:p>
            <w:pPr>
              <w:pStyle w:val="Normal"/>
              <w:jc w:val="center"/>
              <w:rPr>
                <w:rFonts w:ascii="Arial" w:hAnsi="Arial" w:eastAsia="Times New Roman" w:cs="Arial"/>
                <w:b/>
                <w:b/>
                <w:bCs/>
                <w:color w:val="000000"/>
                <w:szCs w:val="20"/>
                <w:lang w:val="en-US"/>
              </w:rPr>
            </w:pPr>
            <w:r>
              <w:rPr>
                <w:rFonts w:eastAsia="Times New Roman" w:cs="Arial" w:ascii="Arial" w:hAnsi="Arial"/>
                <w:b/>
                <w:bCs/>
                <w:color w:val="000000"/>
                <w:szCs w:val="20"/>
                <w:lang w:val="en-US"/>
              </w:rPr>
              <w:t>Justification/Comment</w:t>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Materials and consumables</w:t>
            </w:r>
          </w:p>
        </w:tc>
        <w:tc>
          <w:tcPr>
            <w:tcW w:w="1534" w:type="dxa"/>
            <w:tcBorders/>
            <w:shd w:color="auto" w:fill="auto" w:val="clear"/>
            <w:vAlign w:val="bottom"/>
          </w:tcPr>
          <w:p>
            <w:pPr>
              <w:pStyle w:val="Normal"/>
              <w:jc w:val="center"/>
              <w:rPr>
                <w:rFonts w:eastAsia="Times New Roman"/>
                <w:szCs w:val="20"/>
                <w:lang w:val="en-US"/>
              </w:rPr>
            </w:pPr>
            <w:r>
              <w:rPr>
                <w:rFonts w:eastAsia="Times New Roman" w:ascii="Arial" w:hAnsi="Arial"/>
                <w:szCs w:val="20"/>
                <w:lang w:val="en-US"/>
              </w:rPr>
            </w:r>
          </w:p>
        </w:tc>
        <w:tc>
          <w:tcPr>
            <w:tcW w:w="2497" w:type="dxa"/>
            <w:tcBorders/>
            <w:shd w:color="auto" w:fill="auto" w:val="clear"/>
            <w:vAlign w:val="center"/>
          </w:tcPr>
          <w:p>
            <w:pPr>
              <w:pStyle w:val="Normal"/>
              <w:jc w:val="center"/>
              <w:rPr>
                <w:rFonts w:eastAsia="Times New Roman"/>
                <w:szCs w:val="20"/>
                <w:lang w:val="en-US"/>
              </w:rPr>
            </w:pPr>
            <w:r>
              <w:rPr>
                <w:rFonts w:eastAsia="Times New Roman" w:ascii="Arial" w:hAnsi="Arial"/>
                <w:szCs w:val="20"/>
                <w:lang w:val="en-US"/>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Salary</w:t>
            </w:r>
          </w:p>
        </w:tc>
        <w:tc>
          <w:tcPr>
            <w:tcW w:w="1534" w:type="dxa"/>
            <w:tcBorders/>
            <w:shd w:color="auto" w:fill="auto" w:val="clear"/>
            <w:vAlign w:val="bottom"/>
          </w:tcPr>
          <w:p>
            <w:pPr>
              <w:pStyle w:val="Normal"/>
              <w:jc w:val="center"/>
              <w:rPr>
                <w:rFonts w:eastAsia="Times New Roman"/>
                <w:szCs w:val="20"/>
                <w:lang w:val="en-US"/>
              </w:rPr>
            </w:pPr>
            <w:r>
              <w:rPr>
                <w:rFonts w:eastAsia="Times New Roman" w:ascii="Arial" w:hAnsi="Arial"/>
                <w:szCs w:val="20"/>
                <w:lang w:val="en-US"/>
              </w:rPr>
            </w:r>
          </w:p>
        </w:tc>
        <w:tc>
          <w:tcPr>
            <w:tcW w:w="2497" w:type="dxa"/>
            <w:tcBorders/>
            <w:shd w:color="auto" w:fill="auto" w:val="clear"/>
            <w:vAlign w:val="center"/>
          </w:tcPr>
          <w:p>
            <w:pPr>
              <w:pStyle w:val="Normal"/>
              <w:jc w:val="center"/>
              <w:rPr>
                <w:rFonts w:eastAsia="Times New Roman"/>
                <w:szCs w:val="20"/>
                <w:lang w:val="en-US"/>
              </w:rPr>
            </w:pPr>
            <w:r>
              <w:rPr>
                <w:rFonts w:eastAsia="Times New Roman" w:ascii="Arial" w:hAnsi="Arial"/>
                <w:szCs w:val="20"/>
                <w:lang w:val="en-US"/>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Other costs</w:t>
            </w:r>
          </w:p>
        </w:tc>
        <w:tc>
          <w:tcPr>
            <w:tcW w:w="1534" w:type="dxa"/>
            <w:tcBorders/>
            <w:shd w:color="auto" w:fill="auto" w:val="clear"/>
            <w:vAlign w:val="bottom"/>
          </w:tcPr>
          <w:p>
            <w:pPr>
              <w:pStyle w:val="Normal"/>
              <w:jc w:val="center"/>
              <w:rPr>
                <w:rFonts w:eastAsia="Times New Roman"/>
                <w:szCs w:val="20"/>
                <w:lang w:val="en-US"/>
              </w:rPr>
            </w:pPr>
            <w:r>
              <w:rPr>
                <w:rFonts w:eastAsia="Times New Roman" w:ascii="Arial" w:hAnsi="Arial"/>
                <w:szCs w:val="20"/>
                <w:lang w:val="en-US"/>
              </w:rPr>
            </w:r>
          </w:p>
        </w:tc>
        <w:tc>
          <w:tcPr>
            <w:tcW w:w="2497" w:type="dxa"/>
            <w:tcBorders/>
            <w:shd w:color="auto" w:fill="auto" w:val="clear"/>
            <w:vAlign w:val="center"/>
          </w:tcPr>
          <w:p>
            <w:pPr>
              <w:pStyle w:val="Normal"/>
              <w:jc w:val="center"/>
              <w:rPr>
                <w:rFonts w:eastAsia="Times New Roman"/>
                <w:szCs w:val="20"/>
                <w:lang w:val="en-US"/>
              </w:rPr>
            </w:pPr>
            <w:r>
              <w:rPr>
                <w:rFonts w:eastAsia="Times New Roman" w:ascii="Arial" w:hAnsi="Arial"/>
                <w:szCs w:val="20"/>
                <w:lang w:val="en-US"/>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Over Head</w:t>
            </w:r>
          </w:p>
        </w:tc>
        <w:tc>
          <w:tcPr>
            <w:tcW w:w="1534" w:type="dxa"/>
            <w:tcBorders/>
            <w:shd w:color="auto" w:fill="auto" w:val="clear"/>
            <w:vAlign w:val="bottom"/>
          </w:tcPr>
          <w:p>
            <w:pPr>
              <w:pStyle w:val="Normal"/>
              <w:jc w:val="center"/>
              <w:rPr>
                <w:rFonts w:eastAsia="Times New Roman"/>
                <w:szCs w:val="20"/>
                <w:lang w:val="en-US"/>
              </w:rPr>
            </w:pPr>
            <w:r>
              <w:rPr>
                <w:rFonts w:eastAsia="Times New Roman" w:ascii="Arial" w:hAnsi="Arial"/>
                <w:szCs w:val="20"/>
                <w:lang w:val="en-US"/>
              </w:rPr>
            </w:r>
          </w:p>
        </w:tc>
        <w:tc>
          <w:tcPr>
            <w:tcW w:w="2497" w:type="dxa"/>
            <w:tcBorders/>
            <w:shd w:color="auto" w:fill="auto" w:val="clear"/>
            <w:vAlign w:val="center"/>
          </w:tcPr>
          <w:p>
            <w:pPr>
              <w:pStyle w:val="Normal"/>
              <w:jc w:val="center"/>
              <w:rPr>
                <w:rFonts w:eastAsia="Times New Roman"/>
                <w:szCs w:val="20"/>
                <w:lang w:val="en-US"/>
              </w:rPr>
            </w:pPr>
            <w:r>
              <w:rPr>
                <w:rFonts w:eastAsia="Times New Roman" w:ascii="Arial" w:hAnsi="Arial"/>
                <w:szCs w:val="20"/>
                <w:lang w:val="en-US"/>
              </w:rPr>
            </w:r>
          </w:p>
        </w:tc>
      </w:tr>
      <w:tr>
        <w:trPr>
          <w:trHeight w:val="558" w:hRule="atLeast"/>
        </w:trPr>
        <w:tc>
          <w:tcPr>
            <w:tcW w:w="4876" w:type="dxa"/>
            <w:tcBorders/>
            <w:shd w:color="auto" w:fill="E5E5E5" w:val="clear"/>
            <w:vAlign w:val="bottom"/>
          </w:tcPr>
          <w:p>
            <w:pPr>
              <w:pStyle w:val="Normal"/>
              <w:jc w:val="left"/>
              <w:rPr>
                <w:rFonts w:ascii="Arial" w:hAnsi="Arial" w:eastAsia="Times New Roman" w:cs="Arial"/>
                <w:b/>
                <w:b/>
                <w:bCs/>
                <w:color w:val="000000"/>
                <w:szCs w:val="20"/>
              </w:rPr>
            </w:pPr>
            <w:r>
              <w:rPr>
                <w:rFonts w:eastAsia="Times New Roman" w:cs="Arial" w:ascii="Arial" w:hAnsi="Arial"/>
                <w:b/>
                <w:bCs/>
                <w:color w:val="000000"/>
                <w:sz w:val="16"/>
                <w:szCs w:val="20"/>
                <w:lang w:val="en-US"/>
              </w:rPr>
              <w:t xml:space="preserve">Costs in TOTAL </w:t>
            </w:r>
            <w:r>
              <w:rPr>
                <w:rFonts w:eastAsia="Times New Roman" w:cs="Arial" w:ascii="Arial" w:hAnsi="Arial"/>
                <w:b/>
                <w:bCs/>
                <w:color w:val="000000"/>
                <w:sz w:val="16"/>
                <w:szCs w:val="20"/>
              </w:rPr>
              <w:t>(SEK)</w:t>
            </w:r>
          </w:p>
        </w:tc>
        <w:tc>
          <w:tcPr>
            <w:tcW w:w="1534" w:type="dxa"/>
            <w:tcBorders/>
            <w:shd w:color="auto" w:fill="E5E5E5" w:val="clear"/>
            <w:vAlign w:val="bottom"/>
          </w:tcPr>
          <w:p>
            <w:pPr>
              <w:pStyle w:val="Normal"/>
              <w:jc w:val="center"/>
              <w:rPr>
                <w:rFonts w:eastAsia="Times New Roman"/>
                <w:szCs w:val="20"/>
              </w:rPr>
            </w:pPr>
            <w:r>
              <w:rPr>
                <w:rFonts w:eastAsia="Times New Roman" w:ascii="Arial" w:hAnsi="Arial"/>
                <w:szCs w:val="20"/>
              </w:rPr>
            </w:r>
          </w:p>
        </w:tc>
        <w:tc>
          <w:tcPr>
            <w:tcW w:w="2497" w:type="dxa"/>
            <w:tcBorders/>
            <w:shd w:color="auto" w:fill="E5E5E5" w:val="clear"/>
            <w:vAlign w:val="center"/>
          </w:tcPr>
          <w:p>
            <w:pPr>
              <w:pStyle w:val="Normal"/>
              <w:jc w:val="center"/>
              <w:rPr>
                <w:rFonts w:eastAsia="Times New Roman"/>
                <w:szCs w:val="20"/>
              </w:rPr>
            </w:pPr>
            <w:r>
              <w:rPr>
                <w:rFonts w:eastAsia="Times New Roman" w:ascii="Arial" w:hAnsi="Arial"/>
                <w:szCs w:val="20"/>
              </w:rPr>
            </w:r>
          </w:p>
        </w:tc>
      </w:tr>
      <w:tr>
        <w:trPr>
          <w:trHeight w:val="558" w:hRule="atLeast"/>
        </w:trPr>
        <w:tc>
          <w:tcPr>
            <w:tcW w:w="6410" w:type="dxa"/>
            <w:gridSpan w:val="2"/>
            <w:tcBorders/>
            <w:shd w:color="auto" w:fill="D2E5E7" w:val="clear"/>
            <w:vAlign w:val="bottom"/>
          </w:tcPr>
          <w:p>
            <w:pPr>
              <w:pStyle w:val="Normal"/>
              <w:jc w:val="left"/>
              <w:rPr>
                <w:rFonts w:ascii="Arial" w:hAnsi="Arial" w:eastAsia="Times New Roman" w:cs="Arial"/>
                <w:color w:val="000000"/>
                <w:szCs w:val="20"/>
              </w:rPr>
            </w:pPr>
            <w:r>
              <w:rPr>
                <w:rFonts w:eastAsia="Times New Roman" w:cs="Arial" w:ascii="Arial" w:hAnsi="Arial"/>
                <w:b/>
                <w:bCs/>
                <w:color w:val="000000"/>
                <w:sz w:val="16"/>
                <w:szCs w:val="20"/>
              </w:rPr>
              <w:t>FUNDING</w:t>
            </w:r>
          </w:p>
        </w:tc>
        <w:tc>
          <w:tcPr>
            <w:tcW w:w="2497" w:type="dxa"/>
            <w:tcBorders/>
            <w:shd w:color="auto" w:fill="D2E5E7" w:val="clear"/>
            <w:vAlign w:val="bottom"/>
          </w:tcPr>
          <w:p>
            <w:pPr>
              <w:pStyle w:val="Normal"/>
              <w:jc w:val="center"/>
              <w:rPr>
                <w:rFonts w:ascii="Arial" w:hAnsi="Arial" w:eastAsia="Times New Roman" w:cs="Arial"/>
                <w:b/>
                <w:b/>
                <w:color w:val="000000"/>
                <w:szCs w:val="20"/>
              </w:rPr>
            </w:pPr>
            <w:r>
              <w:rPr>
                <w:rFonts w:eastAsia="Times New Roman" w:cs="Arial" w:ascii="Arial" w:hAnsi="Arial"/>
                <w:b/>
                <w:bCs/>
                <w:color w:val="000000"/>
                <w:szCs w:val="20"/>
                <w:lang w:val="en-US"/>
              </w:rPr>
              <w:t>Justification/Comment</w:t>
            </w:r>
          </w:p>
        </w:tc>
      </w:tr>
      <w:tr>
        <w:trPr>
          <w:trHeight w:val="558" w:hRule="atLeast"/>
        </w:trPr>
        <w:tc>
          <w:tcPr>
            <w:tcW w:w="4876" w:type="dxa"/>
            <w:tcBorders>
              <w:bottom w:val="single" w:sz="2" w:space="0" w:color="000000"/>
            </w:tcBorders>
            <w:shd w:color="auto" w:fill="auto" w:val="clear"/>
            <w:vAlign w:val="bottom"/>
          </w:tcPr>
          <w:p>
            <w:pPr>
              <w:pStyle w:val="Normal"/>
              <w:jc w:val="left"/>
              <w:rPr>
                <w:rFonts w:ascii="Arial" w:hAnsi="Arial" w:eastAsia="Times New Roman" w:cs="Arial"/>
                <w:color w:val="000000"/>
                <w:szCs w:val="20"/>
              </w:rPr>
            </w:pPr>
            <w:r>
              <w:rPr>
                <w:rFonts w:eastAsia="Times New Roman" w:cs="Arial" w:ascii="Arial" w:hAnsi="Arial"/>
                <w:b w:val="false"/>
                <w:bCs/>
                <w:color w:val="000000"/>
                <w:sz w:val="16"/>
                <w:szCs w:val="20"/>
              </w:rPr>
              <w:t>Applied funding from SciLifeLab</w:t>
            </w:r>
          </w:p>
        </w:tc>
        <w:tc>
          <w:tcPr>
            <w:tcW w:w="1534" w:type="dxa"/>
            <w:tcBorders>
              <w:bottom w:val="single" w:sz="2" w:space="0" w:color="000000"/>
            </w:tcBorders>
            <w:shd w:color="auto" w:fill="auto" w:val="clear"/>
            <w:vAlign w:val="bottom"/>
          </w:tcPr>
          <w:p>
            <w:pPr>
              <w:pStyle w:val="Normal"/>
              <w:jc w:val="center"/>
              <w:rPr>
                <w:rFonts w:ascii="Arial" w:hAnsi="Arial" w:eastAsia="Times New Roman" w:cs="Arial"/>
                <w:color w:val="000000"/>
                <w:szCs w:val="20"/>
              </w:rPr>
            </w:pPr>
            <w:r>
              <w:rPr>
                <w:rFonts w:eastAsia="Times New Roman" w:cs="Arial" w:ascii="Arial" w:hAnsi="Arial"/>
                <w:color w:val="000000"/>
                <w:szCs w:val="20"/>
              </w:rPr>
            </w:r>
          </w:p>
        </w:tc>
        <w:tc>
          <w:tcPr>
            <w:tcW w:w="2497" w:type="dxa"/>
            <w:tcBorders>
              <w:bottom w:val="single" w:sz="2" w:space="0" w:color="000000"/>
            </w:tcBorders>
            <w:shd w:color="auto" w:fill="auto" w:val="clear"/>
            <w:vAlign w:val="center"/>
          </w:tcPr>
          <w:p>
            <w:pPr>
              <w:pStyle w:val="Normal"/>
              <w:jc w:val="center"/>
              <w:rPr>
                <w:rFonts w:ascii="Arial" w:hAnsi="Arial" w:eastAsia="Times New Roman" w:cs="Arial"/>
                <w:color w:val="000000"/>
                <w:szCs w:val="20"/>
              </w:rPr>
            </w:pPr>
            <w:r>
              <w:rPr>
                <w:rFonts w:eastAsia="Times New Roman" w:cs="Arial" w:ascii="Arial" w:hAnsi="Arial"/>
                <w:color w:val="000000"/>
                <w:szCs w:val="20"/>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 xml:space="preserve">Funding from [other funding body A], if applicable            </w:t>
            </w:r>
          </w:p>
        </w:tc>
        <w:tc>
          <w:tcPr>
            <w:tcW w:w="1534" w:type="dxa"/>
            <w:tcBorders/>
            <w:shd w:color="auto" w:fill="auto" w:val="clear"/>
            <w:vAlign w:val="bottom"/>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c>
          <w:tcPr>
            <w:tcW w:w="2497" w:type="dxa"/>
            <w:tcBorders/>
            <w:shd w:color="auto" w:fill="auto" w:val="clear"/>
            <w:vAlign w:val="center"/>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Funding from [other funding body B], if applicable</w:t>
            </w:r>
          </w:p>
        </w:tc>
        <w:tc>
          <w:tcPr>
            <w:tcW w:w="1534" w:type="dxa"/>
            <w:tcBorders/>
            <w:shd w:color="auto" w:fill="auto" w:val="clear"/>
            <w:vAlign w:val="bottom"/>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c>
          <w:tcPr>
            <w:tcW w:w="2497" w:type="dxa"/>
            <w:tcBorders/>
            <w:shd w:color="auto" w:fill="auto" w:val="clear"/>
            <w:vAlign w:val="center"/>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r>
      <w:tr>
        <w:trPr>
          <w:trHeight w:val="558" w:hRule="atLeast"/>
        </w:trPr>
        <w:tc>
          <w:tcPr>
            <w:tcW w:w="4876" w:type="dxa"/>
            <w:tcBorders/>
            <w:shd w:color="auto" w:fill="auto" w:val="clear"/>
            <w:vAlign w:val="bottom"/>
          </w:tcPr>
          <w:p>
            <w:pPr>
              <w:pStyle w:val="Normal"/>
              <w:jc w:val="left"/>
              <w:rPr>
                <w:rFonts w:ascii="Arial" w:hAnsi="Arial" w:eastAsia="Times New Roman" w:cs="Arial"/>
                <w:color w:val="000000"/>
                <w:szCs w:val="20"/>
                <w:lang w:val="en-US"/>
              </w:rPr>
            </w:pPr>
            <w:r>
              <w:rPr>
                <w:rFonts w:eastAsia="Times New Roman" w:cs="Arial" w:ascii="Arial" w:hAnsi="Arial"/>
                <w:b w:val="false"/>
                <w:bCs/>
                <w:color w:val="000000"/>
                <w:sz w:val="16"/>
                <w:szCs w:val="20"/>
                <w:lang w:val="en-US"/>
              </w:rPr>
              <w:t>Funding from [other funding body C], if applicable</w:t>
            </w:r>
          </w:p>
        </w:tc>
        <w:tc>
          <w:tcPr>
            <w:tcW w:w="1534" w:type="dxa"/>
            <w:tcBorders/>
            <w:shd w:color="auto" w:fill="auto" w:val="clear"/>
            <w:vAlign w:val="bottom"/>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c>
          <w:tcPr>
            <w:tcW w:w="2497" w:type="dxa"/>
            <w:tcBorders/>
            <w:shd w:color="auto" w:fill="auto" w:val="clear"/>
            <w:vAlign w:val="center"/>
          </w:tcPr>
          <w:p>
            <w:pPr>
              <w:pStyle w:val="Normal"/>
              <w:jc w:val="center"/>
              <w:rPr>
                <w:rFonts w:ascii="Arial" w:hAnsi="Arial" w:eastAsia="Times New Roman" w:cs="Arial"/>
                <w:color w:val="000000"/>
                <w:szCs w:val="20"/>
                <w:lang w:val="en-US"/>
              </w:rPr>
            </w:pPr>
            <w:r>
              <w:rPr>
                <w:rFonts w:eastAsia="Times New Roman" w:cs="Arial" w:ascii="Arial" w:hAnsi="Arial"/>
                <w:color w:val="000000"/>
                <w:szCs w:val="20"/>
                <w:lang w:val="en-US"/>
              </w:rPr>
            </w:r>
          </w:p>
        </w:tc>
      </w:tr>
      <w:tr>
        <w:trPr>
          <w:trHeight w:val="558" w:hRule="atLeast"/>
        </w:trPr>
        <w:tc>
          <w:tcPr>
            <w:tcW w:w="4876" w:type="dxa"/>
            <w:tcBorders/>
            <w:shd w:color="auto" w:fill="D2E5E7" w:val="clear"/>
            <w:vAlign w:val="bottom"/>
          </w:tcPr>
          <w:p>
            <w:pPr>
              <w:pStyle w:val="Normal"/>
              <w:jc w:val="left"/>
              <w:rPr>
                <w:rFonts w:ascii="Arial" w:hAnsi="Arial" w:eastAsia="Times New Roman" w:cs="Arial"/>
                <w:b/>
                <w:b/>
                <w:bCs/>
                <w:color w:val="000000"/>
                <w:szCs w:val="20"/>
              </w:rPr>
            </w:pPr>
            <w:r>
              <w:rPr>
                <w:rFonts w:eastAsia="Times New Roman" w:cs="Arial" w:ascii="Arial" w:hAnsi="Arial"/>
                <w:b/>
                <w:bCs/>
                <w:color w:val="000000"/>
                <w:sz w:val="16"/>
                <w:szCs w:val="20"/>
              </w:rPr>
              <w:t>Funding in TOTAL (SEK)</w:t>
            </w:r>
          </w:p>
        </w:tc>
        <w:tc>
          <w:tcPr>
            <w:tcW w:w="1534" w:type="dxa"/>
            <w:tcBorders/>
            <w:shd w:color="auto" w:fill="D2E5E7" w:val="clear"/>
            <w:vAlign w:val="bottom"/>
          </w:tcPr>
          <w:p>
            <w:pPr>
              <w:pStyle w:val="Normal"/>
              <w:jc w:val="center"/>
              <w:rPr>
                <w:rFonts w:eastAsia="Times New Roman"/>
                <w:szCs w:val="20"/>
              </w:rPr>
            </w:pPr>
            <w:r>
              <w:rPr>
                <w:rFonts w:eastAsia="Times New Roman" w:ascii="Arial" w:hAnsi="Arial"/>
                <w:szCs w:val="20"/>
              </w:rPr>
            </w:r>
          </w:p>
        </w:tc>
        <w:tc>
          <w:tcPr>
            <w:tcW w:w="2497" w:type="dxa"/>
            <w:tcBorders/>
            <w:shd w:color="auto" w:fill="D2E5E7" w:val="clear"/>
            <w:vAlign w:val="center"/>
          </w:tcPr>
          <w:p>
            <w:pPr>
              <w:pStyle w:val="Normal"/>
              <w:jc w:val="center"/>
              <w:rPr>
                <w:rFonts w:eastAsia="Times New Roman"/>
                <w:szCs w:val="20"/>
              </w:rPr>
            </w:pPr>
            <w:r>
              <w:rPr>
                <w:rFonts w:eastAsia="Times New Roman" w:ascii="Arial" w:hAnsi="Arial"/>
                <w:szCs w:val="20"/>
              </w:rPr>
            </w:r>
          </w:p>
        </w:tc>
      </w:tr>
    </w:tbl>
    <w:p>
      <w:pPr>
        <w:pStyle w:val="Normal"/>
        <w:rPr>
          <w:lang w:val="en-US"/>
        </w:rPr>
      </w:pPr>
      <w:r>
        <w:rPr>
          <w:lang w:val="en-US"/>
        </w:rPr>
      </w:r>
    </w:p>
    <w:p>
      <w:pPr>
        <w:pStyle w:val="Normal"/>
        <w:rPr>
          <w:lang w:val="en-US"/>
        </w:rPr>
      </w:pPr>
      <w:r>
        <w:rPr>
          <w:lang w:val="en-US"/>
        </w:rPr>
      </w:r>
    </w:p>
    <w:tbl>
      <w:tblPr>
        <w:tblStyle w:val="TableGridLight"/>
        <w:tblW w:w="8928" w:type="dxa"/>
        <w:jc w:val="left"/>
        <w:tblInd w:w="0" w:type="dxa"/>
        <w:tblCellMar>
          <w:top w:w="0" w:type="dxa"/>
          <w:left w:w="108" w:type="dxa"/>
          <w:bottom w:w="0" w:type="dxa"/>
          <w:right w:w="108" w:type="dxa"/>
        </w:tblCellMar>
        <w:tblLook w:val="04a0" w:noHBand="0" w:noVBand="1" w:firstColumn="1" w:lastRow="0" w:lastColumn="0" w:firstRow="1"/>
      </w:tblPr>
      <w:tblGrid>
        <w:gridCol w:w="8928"/>
      </w:tblGrid>
      <w:tr>
        <w:trPr>
          <w:trHeight w:val="628" w:hRule="atLeast"/>
        </w:trPr>
        <w:tc>
          <w:tcPr>
            <w:tcW w:w="8928" w:type="dxa"/>
            <w:tcBorders>
              <w:top w:val="single" w:sz="4" w:space="0" w:color="000000"/>
              <w:left w:val="single" w:sz="4" w:space="0" w:color="000000"/>
              <w:bottom w:val="single" w:sz="4" w:space="0" w:color="000000"/>
              <w:right w:val="single" w:sz="4" w:space="0" w:color="000000"/>
            </w:tcBorders>
            <w:shd w:color="auto" w:fill="D3E4A3" w:val="clear"/>
          </w:tcPr>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r>
          </w:p>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t>4. How the proposed capability could be funded in 2024 and beyond and from which sources (max 0.5 page).</w:t>
            </w:r>
          </w:p>
          <w:p>
            <w:pPr>
              <w:pStyle w:val="Normal"/>
              <w:rPr>
                <w:rFonts w:ascii="Arial" w:hAnsi="Arial" w:eastAsia="ＭＳ ゴシック" w:cs="" w:cstheme="majorBidi" w:eastAsiaTheme="majorEastAsia"/>
                <w:bCs/>
                <w:lang w:val="en-US"/>
              </w:rPr>
            </w:pPr>
            <w:r>
              <w:rPr>
                <w:rFonts w:eastAsia="ＭＳ ゴシック" w:cs="" w:cstheme="majorBidi" w:eastAsiaTheme="majorEastAsia" w:ascii="Arial" w:hAnsi="Arial"/>
                <w:bCs/>
                <w:lang w:val="en-US"/>
              </w:rPr>
            </w:r>
          </w:p>
        </w:tc>
      </w:tr>
      <w:tr>
        <w:trPr>
          <w:trHeight w:val="5589" w:hRule="atLeast"/>
        </w:trPr>
        <w:tc>
          <w:tcPr>
            <w:tcW w:w="8928" w:type="dxa"/>
            <w:tcBorders>
              <w:top w:val="single" w:sz="4" w:space="0" w:color="000000"/>
              <w:left w:val="single" w:sz="4" w:space="0" w:color="000000"/>
              <w:bottom w:val="single" w:sz="4" w:space="0" w:color="000000"/>
              <w:right w:val="single" w:sz="4" w:space="0" w:color="000000"/>
            </w:tcBorders>
          </w:tcPr>
          <w:p>
            <w:pPr>
              <w:pStyle w:val="ListParagraph"/>
              <w:rPr>
                <w:rFonts w:ascii="Arial" w:hAnsi="Arial" w:cs="" w:cstheme="majorBidi"/>
              </w:rPr>
            </w:pPr>
            <w:r>
              <w:rPr>
                <w:rFonts w:cs="" w:cstheme="majorBidi" w:ascii="Arial" w:hAnsi="Arial"/>
              </w:rPr>
            </w:r>
          </w:p>
        </w:tc>
      </w:tr>
      <w:tr>
        <w:trPr>
          <w:trHeight w:val="486" w:hRule="atLeast"/>
        </w:trPr>
        <w:tc>
          <w:tcPr>
            <w:tcW w:w="8928" w:type="dxa"/>
            <w:tcBorders>
              <w:top w:val="single" w:sz="4" w:space="0" w:color="000000"/>
              <w:left w:val="single" w:sz="4" w:space="0" w:color="000000"/>
              <w:bottom w:val="single" w:sz="4" w:space="0" w:color="000000"/>
              <w:right w:val="single" w:sz="4" w:space="0" w:color="000000"/>
            </w:tcBorders>
            <w:shd w:color="auto" w:fill="D3E4A3" w:val="clear"/>
          </w:tcPr>
          <w:p>
            <w:pPr>
              <w:pStyle w:val="Normal"/>
              <w:rPr>
                <w:rFonts w:ascii="Arial" w:hAnsi="Arial" w:eastAsia="Times New Roman" w:cs="Arial"/>
                <w:color w:val="000000"/>
                <w:szCs w:val="20"/>
                <w:lang w:val="en-US" w:eastAsia="en-GB"/>
              </w:rPr>
            </w:pPr>
            <w:r>
              <w:rPr>
                <w:rFonts w:eastAsia="Times New Roman" w:cs="Arial" w:ascii="Arial" w:hAnsi="Arial"/>
                <w:color w:val="000000"/>
                <w:szCs w:val="20"/>
                <w:lang w:val="en-US" w:eastAsia="en-GB"/>
              </w:rPr>
              <w:br/>
              <w:t>5. How FAIR data principles (Findable, Accessible, Interoperable, Reusable) and data sharing are planned (max 0.5 page).</w:t>
            </w:r>
          </w:p>
          <w:p>
            <w:pPr>
              <w:pStyle w:val="Normal"/>
              <w:rPr>
                <w:rFonts w:ascii="Arial" w:hAnsi="Arial" w:eastAsia="ＭＳ ゴシック" w:cs="" w:cstheme="majorBidi" w:eastAsiaTheme="majorEastAsia"/>
                <w:bCs/>
                <w:lang w:val="en-US"/>
              </w:rPr>
            </w:pPr>
            <w:r>
              <w:rPr>
                <w:rFonts w:eastAsia="ＭＳ ゴシック" w:cs="" w:cstheme="majorBidi" w:eastAsiaTheme="majorEastAsia" w:ascii="Arial" w:hAnsi="Arial"/>
                <w:bCs/>
                <w:lang w:val="en-US"/>
              </w:rPr>
            </w:r>
          </w:p>
        </w:tc>
      </w:tr>
      <w:tr>
        <w:trPr>
          <w:trHeight w:val="70" w:hRule="atLeast"/>
        </w:trPr>
        <w:tc>
          <w:tcPr>
            <w:tcW w:w="8928" w:type="dxa"/>
            <w:tcBorders>
              <w:top w:val="single" w:sz="4" w:space="0" w:color="000000"/>
              <w:left w:val="single" w:sz="4" w:space="0" w:color="000000"/>
              <w:bottom w:val="single" w:sz="4" w:space="0" w:color="000000"/>
              <w:right w:val="single" w:sz="4" w:space="0" w:color="000000"/>
            </w:tcBorders>
          </w:tcPr>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p>
            <w:pPr>
              <w:pStyle w:val="ListParagraph"/>
              <w:rPr>
                <w:rFonts w:ascii="Arial" w:hAnsi="Arial" w:cs="" w:cstheme="majorBidi"/>
              </w:rPr>
            </w:pPr>
            <w:r>
              <w:rPr>
                <w:rFonts w:cs="" w:cstheme="majorBidi" w:ascii="Arial" w:hAnsi="Arial"/>
              </w:rPr>
            </w:r>
          </w:p>
        </w:tc>
      </w:tr>
    </w:tbl>
    <w:p>
      <w:pPr>
        <w:pStyle w:val="Normal"/>
        <w:rPr>
          <w:rFonts w:ascii="Arial" w:hAnsi="Arial" w:cs="Arial"/>
          <w:lang w:val="en-US"/>
        </w:rPr>
      </w:pPr>
      <w:r>
        <w:rPr>
          <w:rFonts w:cs="Arial" w:ascii="Arial" w:hAnsi="Arial"/>
          <w:lang w:val="en-US"/>
        </w:rPr>
      </w:r>
    </w:p>
    <w:p>
      <w:pPr>
        <w:pStyle w:val="Normal"/>
        <w:rPr>
          <w:rFonts w:ascii="Arial" w:hAnsi="Arial" w:cs="Arial"/>
          <w:lang w:val="en-US"/>
        </w:rPr>
      </w:pPr>
      <w:r>
        <w:rPr>
          <w:rFonts w:cs="Arial" w:ascii="Arial" w:hAnsi="Arial"/>
          <w:lang w:val="en-US"/>
        </w:rPr>
      </w:r>
    </w:p>
    <w:tbl>
      <w:tblPr>
        <w:tblStyle w:val="LightGrid-Accent3"/>
        <w:tblW w:w="8928" w:type="dxa"/>
        <w:jc w:val="left"/>
        <w:tblInd w:w="0" w:type="dxa"/>
        <w:tblCellMar>
          <w:top w:w="0" w:type="dxa"/>
          <w:left w:w="108" w:type="dxa"/>
          <w:bottom w:w="0" w:type="dxa"/>
          <w:right w:w="108" w:type="dxa"/>
        </w:tblCellMar>
        <w:tblLook w:val="04a0" w:noHBand="0" w:noVBand="1" w:firstColumn="1" w:lastRow="0" w:lastColumn="0" w:firstRow="1"/>
      </w:tblPr>
      <w:tblGrid>
        <w:gridCol w:w="8928"/>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8928"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D3E4A3" w:val="clear"/>
          </w:tcPr>
          <w:p>
            <w:pPr>
              <w:pStyle w:val="Normal"/>
              <w:spacing w:before="0" w:after="0"/>
              <w:jc w:val="center"/>
              <w:rPr>
                <w:rFonts w:cs="Arial"/>
                <w:bCs w:val="false"/>
                <w:szCs w:val="20"/>
                <w:lang w:val="en-GB"/>
              </w:rPr>
            </w:pPr>
            <w:r>
              <w:rPr>
                <w:rFonts w:eastAsia="ＭＳ ゴシック" w:cs="Arial" w:eastAsiaTheme="majorEastAsia" w:ascii="Arial" w:hAnsi="Arial"/>
                <w:b/>
                <w:bCs w:val="false"/>
                <w:sz w:val="20"/>
                <w:szCs w:val="20"/>
                <w:lang w:val="en-GB"/>
              </w:rPr>
            </w:r>
          </w:p>
          <w:p>
            <w:pPr>
              <w:pStyle w:val="Normal"/>
              <w:spacing w:before="0" w:after="0"/>
              <w:jc w:val="center"/>
              <w:rPr>
                <w:rFonts w:cs="Arial"/>
                <w:szCs w:val="20"/>
                <w:lang w:val="en-GB"/>
              </w:rPr>
            </w:pPr>
            <w:r>
              <w:rPr>
                <w:rFonts w:eastAsia="ＭＳ ゴシック" w:cs="Arial" w:eastAsiaTheme="majorEastAsia" w:ascii="Arial" w:hAnsi="Arial"/>
                <w:b w:val="false"/>
                <w:bCs/>
                <w:sz w:val="20"/>
                <w:szCs w:val="20"/>
                <w:lang w:val="en-GB"/>
              </w:rPr>
              <w:t xml:space="preserve">6. </w:t>
            </w:r>
            <w:r>
              <w:rPr>
                <w:rFonts w:eastAsia="Times New Roman" w:cs="Arial" w:ascii="Arial" w:hAnsi="Arial"/>
                <w:b w:val="false"/>
                <w:bCs/>
                <w:color w:val="000000"/>
                <w:sz w:val="20"/>
                <w:szCs w:val="20"/>
                <w:lang w:val="en-US" w:eastAsia="en-GB"/>
              </w:rPr>
              <w:t>Short CV and relevant top publications/patents of the main PI (max 1 page)</w:t>
            </w:r>
            <w:r>
              <w:rPr>
                <w:rFonts w:eastAsia="ＭＳ ゴシック" w:cs="Arial" w:eastAsiaTheme="majorEastAsia" w:ascii="Arial" w:hAnsi="Arial"/>
                <w:b/>
                <w:bCs/>
                <w:sz w:val="20"/>
                <w:szCs w:val="20"/>
                <w:lang w:val="en-GB"/>
              </w:rPr>
              <w:tab/>
            </w:r>
          </w:p>
          <w:p>
            <w:pPr>
              <w:pStyle w:val="Normal"/>
              <w:spacing w:before="0" w:after="0"/>
              <w:jc w:val="left"/>
              <w:rPr>
                <w:rFonts w:cs="Arial"/>
                <w:b w:val="false"/>
                <w:b w:val="false"/>
                <w:lang w:val="en-GB"/>
              </w:rPr>
            </w:pPr>
            <w:r>
              <w:rPr>
                <w:rFonts w:eastAsia="ＭＳ ゴシック" w:cs="Arial" w:eastAsiaTheme="majorEastAsia" w:ascii="Arial" w:hAnsi="Arial"/>
                <w:b w:val="false"/>
                <w:bCs/>
                <w:sz w:val="20"/>
                <w:lang w:val="en-GB"/>
              </w:rPr>
            </w:r>
          </w:p>
        </w:tc>
      </w:tr>
      <w:tr>
        <w:trPr>
          <w:trHeight w:val="4906" w:hRule="atLeast"/>
          <w:cnfStyle w:val="000000100000" w:firstRow="0" w:lastRow="0" w:firstColumn="0" w:lastColumn="0" w:oddVBand="0" w:evenVBand="0" w:oddHBand="1" w:evenHBand="0" w:firstRowFirstColumn="0" w:firstRowLastColumn="0" w:lastRowFirstColumn="0" w:lastRowLastColumn="0"/>
        </w:trPr>
        <w:tc>
          <w:tcPr>
            <w:tcW w:w="8928"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auto" w:val="clear"/>
          </w:tcPr>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tc>
      </w:tr>
    </w:tbl>
    <w:p>
      <w:pPr>
        <w:pStyle w:val="Normal"/>
        <w:rPr>
          <w:lang w:val="en-US"/>
        </w:rPr>
      </w:pPr>
      <w:r>
        <w:rPr>
          <w:lang w:val="en-US"/>
        </w:rPr>
      </w:r>
    </w:p>
    <w:tbl>
      <w:tblPr>
        <w:tblStyle w:val="LightGrid-Accent3"/>
        <w:tblW w:w="8928" w:type="dxa"/>
        <w:jc w:val="left"/>
        <w:tblInd w:w="0" w:type="dxa"/>
        <w:tblCellMar>
          <w:top w:w="0" w:type="dxa"/>
          <w:left w:w="108" w:type="dxa"/>
          <w:bottom w:w="0" w:type="dxa"/>
          <w:right w:w="108" w:type="dxa"/>
        </w:tblCellMar>
        <w:tblLook w:val="04a0" w:noHBand="0" w:noVBand="1" w:firstColumn="1" w:lastRow="0" w:lastColumn="0" w:firstRow="1"/>
      </w:tblPr>
      <w:tblGrid>
        <w:gridCol w:w="8928"/>
      </w:tblGrid>
      <w:tr>
        <w:trPr>
          <w:trHeight w:val="454" w:hRule="atLeast"/>
          <w:cnfStyle w:val="100000000000" w:firstRow="1" w:lastRow="0" w:firstColumn="0" w:lastColumn="0" w:oddVBand="0" w:evenVBand="0" w:oddHBand="0" w:evenHBand="0" w:firstRowFirstColumn="0" w:firstRowLastColumn="0" w:lastRowFirstColumn="0" w:lastRowLastColumn="0"/>
        </w:trPr>
        <w:tc>
          <w:tcPr>
            <w:tcW w:w="8928"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D3E4A3" w:val="clear"/>
          </w:tcPr>
          <w:p>
            <w:pPr>
              <w:pStyle w:val="Normal"/>
              <w:spacing w:before="0" w:after="0"/>
              <w:jc w:val="left"/>
              <w:rPr>
                <w:rFonts w:eastAsia="Times New Roman" w:cs="Arial"/>
                <w:bCs w:val="false"/>
                <w:color w:val="000000"/>
                <w:szCs w:val="20"/>
                <w:lang w:val="en-US" w:eastAsia="en-GB"/>
              </w:rPr>
            </w:pPr>
            <w:r>
              <w:rPr>
                <w:rFonts w:eastAsia="Times New Roman" w:cs="Arial" w:ascii="Arial" w:hAnsi="Arial"/>
                <w:b/>
                <w:bCs w:val="false"/>
                <w:color w:val="000000"/>
                <w:sz w:val="20"/>
                <w:szCs w:val="20"/>
                <w:lang w:val="en-US" w:eastAsia="en-GB"/>
              </w:rPr>
            </w:r>
          </w:p>
          <w:p>
            <w:pPr>
              <w:pStyle w:val="Normal"/>
              <w:spacing w:before="0" w:after="0"/>
              <w:jc w:val="center"/>
              <w:rPr>
                <w:rFonts w:eastAsia="Times New Roman" w:cs="Arial"/>
                <w:b w:val="false"/>
                <w:b w:val="false"/>
                <w:color w:val="000000"/>
                <w:szCs w:val="20"/>
                <w:lang w:val="en-US" w:eastAsia="en-GB"/>
              </w:rPr>
            </w:pPr>
            <w:r>
              <w:rPr>
                <w:rFonts w:eastAsia="Times New Roman" w:cs="Arial" w:ascii="Arial" w:hAnsi="Arial"/>
                <w:b w:val="false"/>
                <w:bCs/>
                <w:color w:val="000000"/>
                <w:sz w:val="20"/>
                <w:szCs w:val="20"/>
                <w:lang w:val="en-US" w:eastAsia="en-GB"/>
              </w:rPr>
              <w:t>7. Short paragraph of the merits of co-PIs and other parties, including e.g. health care, companies, government or SciLifeLab infrastructure and/or data center/portal (max 1 page)</w:t>
            </w:r>
          </w:p>
          <w:p>
            <w:pPr>
              <w:pStyle w:val="Normal"/>
              <w:spacing w:before="0" w:after="0"/>
              <w:jc w:val="left"/>
              <w:rPr>
                <w:rFonts w:eastAsia="Times New Roman" w:cs="Arial"/>
                <w:bCs w:val="false"/>
                <w:color w:val="000000"/>
                <w:szCs w:val="20"/>
                <w:lang w:val="en-US" w:eastAsia="en-GB"/>
              </w:rPr>
            </w:pPr>
            <w:r>
              <w:rPr>
                <w:rFonts w:eastAsia="Times New Roman" w:cs="Arial" w:ascii="Arial" w:hAnsi="Arial"/>
                <w:b/>
                <w:bCs w:val="false"/>
                <w:color w:val="000000"/>
                <w:sz w:val="20"/>
                <w:szCs w:val="20"/>
                <w:lang w:val="en-US" w:eastAsia="en-GB"/>
              </w:rPr>
            </w:r>
          </w:p>
          <w:p>
            <w:pPr>
              <w:pStyle w:val="Normal"/>
              <w:spacing w:before="0" w:after="0"/>
              <w:jc w:val="left"/>
              <w:rPr>
                <w:rFonts w:cs="Arial"/>
                <w:b w:val="false"/>
                <w:b w:val="false"/>
                <w:lang w:val="en-US"/>
              </w:rPr>
            </w:pPr>
            <w:r>
              <w:rPr>
                <w:rFonts w:eastAsia="ＭＳ ゴシック" w:cs="Arial" w:eastAsiaTheme="majorEastAsia" w:ascii="Arial" w:hAnsi="Arial"/>
                <w:b w:val="false"/>
                <w:bCs/>
                <w:sz w:val="20"/>
                <w:lang w:val="en-US"/>
              </w:rPr>
            </w:r>
          </w:p>
        </w:tc>
      </w:tr>
      <w:tr>
        <w:trPr>
          <w:trHeight w:val="4906" w:hRule="atLeast"/>
          <w:cnfStyle w:val="000000100000" w:firstRow="0" w:lastRow="0" w:firstColumn="0" w:lastColumn="0" w:oddVBand="0" w:evenVBand="0" w:oddHBand="1" w:evenHBand="0" w:firstRowFirstColumn="0" w:firstRowLastColumn="0" w:lastRowFirstColumn="0" w:lastRowLastColumn="0"/>
        </w:trPr>
        <w:tc>
          <w:tcPr>
            <w:tcW w:w="8928" w:type="dxa"/>
            <w:cnfStyle w:val="001000000000" w:firstRow="0" w:lastRow="0" w:firstColumn="1" w:lastColumn="0" w:oddVBand="0" w:evenVBand="0" w:oddHBand="0" w:evenHBand="0" w:firstRowFirstColumn="0" w:firstRowLastColumn="0" w:lastRowFirstColumn="0" w:lastRowLastColumn="0"/>
            <w:tcBorders>
              <w:top w:val="single" w:sz="2" w:space="0" w:color="000000"/>
              <w:left w:val="single" w:sz="2" w:space="0" w:color="000000"/>
              <w:bottom w:val="single" w:sz="2" w:space="0" w:color="000000"/>
              <w:right w:val="single" w:sz="2" w:space="0" w:color="000000"/>
            </w:tcBorders>
            <w:shd w:color="auto" w:fill="auto" w:val="clear"/>
          </w:tcPr>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p>
            <w:pPr>
              <w:pStyle w:val="ListParagraph"/>
              <w:rPr>
                <w:rFonts w:ascii="Arial" w:hAnsi="Arial" w:cs="" w:cstheme="majorBidi"/>
              </w:rPr>
            </w:pPr>
            <w:r>
              <w:rPr>
                <w:rFonts w:eastAsia="ＭＳ ゴシック" w:cs="" w:cstheme="majorBidi" w:ascii="Arial" w:hAnsi="Arial"/>
                <w:b w:val="false"/>
                <w:bCs/>
              </w:rPr>
            </w:r>
          </w:p>
        </w:tc>
      </w:tr>
    </w:tbl>
    <w:p>
      <w:pPr>
        <w:pStyle w:val="Normal"/>
        <w:rPr>
          <w:lang w:val="en-US"/>
        </w:rPr>
      </w:pPr>
      <w:r>
        <w:rPr/>
      </w:r>
    </w:p>
    <w:sectPr>
      <w:headerReference w:type="default" r:id="rId2"/>
      <w:footerReference w:type="default" r:id="rId3"/>
      <w:type w:val="nextPage"/>
      <w:pgSz w:w="11906" w:h="16838"/>
      <w:pgMar w:left="1418" w:right="1418" w:header="709" w:top="1418" w:footer="709" w:bottom="1418"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 w:name="Liberation Sans">
    <w:altName w:val="Arial"/>
    <w:charset w:val="01"/>
    <w:family w:val="swiss"/>
    <w:pitch w:val="variable"/>
  </w:font>
  <w:font w:name="Cambr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firstLine="360"/>
      <w:rPr/>
    </w:pPr>
    <w:r>
      <w:rPr/>
    </w:r>
    <w:r>
      <mc:AlternateContent>
        <mc:Choice Requires="wps">
          <w:drawing>
            <wp:anchor behindDoc="0" distT="0" distB="0" distL="0" distR="0" simplePos="0" locked="0" layoutInCell="1" allowOverlap="1" relativeHeight="14">
              <wp:simplePos x="0" y="0"/>
              <wp:positionH relativeFrom="margin">
                <wp:posOffset>0</wp:posOffset>
              </wp:positionH>
              <wp:positionV relativeFrom="paragraph">
                <wp:posOffset>635</wp:posOffset>
              </wp:positionV>
              <wp:extent cx="64135" cy="146685"/>
              <wp:effectExtent l="0" t="0" r="0" b="0"/>
              <wp:wrapNone/>
              <wp:docPr id="5" name="Frame3"/>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0pt;mso-position-horizontal-relative:margin">
              <v:fill opacity="0f"/>
              <v:textbox inset="0in,0in,0in,0in">
                <w:txbxContent>
                  <w:p>
                    <w:pPr>
                      <w:pStyle w:val="Footer"/>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9</w:t>
                    </w:r>
                    <w:r>
                      <w:rPr>
                        <w:rStyle w:val="Pagenumber"/>
                      </w:rPr>
                      <w:fldChar w:fldCharType="end"/>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Arial" w:hAnsi="Arial" w:eastAsia="Times New Roman" w:cs="Arial"/>
        <w:b/>
        <w:b/>
        <w:bCs/>
        <w:color w:val="000000"/>
        <w:szCs w:val="20"/>
        <w:lang w:val="en-US" w:eastAsia="en-GB"/>
      </w:rPr>
    </w:pPr>
    <w:r>
      <w:rPr>
        <w:rFonts w:eastAsia="Times New Roman" w:cs="Arial" w:ascii="Arial" w:hAnsi="Arial"/>
        <w:b/>
        <w:bCs/>
        <w:color w:val="000000"/>
        <w:szCs w:val="20"/>
        <w:lang w:val="en-US" w:eastAsia="en-GB"/>
      </w:rPr>
      <w:t>Call Laboratory preparedness pandemics Clin Micro</w:t>
    </w:r>
  </w:p>
  <w:p>
    <w:pPr>
      <w:pStyle w:val="Header"/>
      <w:rPr>
        <w:rFonts w:ascii="Arial" w:hAnsi="Arial" w:eastAsia="Times New Roman" w:cs="Arial"/>
        <w:b/>
        <w:b/>
        <w:bCs/>
        <w:color w:val="000000"/>
        <w:sz w:val="24"/>
        <w:lang w:val="en-US" w:eastAsia="en-GB"/>
      </w:rPr>
    </w:pPr>
    <w:r>
      <w:rPr>
        <w:rFonts w:eastAsia="Times New Roman" w:cs="Arial" w:ascii="Arial" w:hAnsi="Arial"/>
        <w:b/>
        <w:bCs/>
        <w:color w:val="000000"/>
        <w:sz w:val="24"/>
        <w:lang w:val="en-US" w:eastAsia="en-GB"/>
      </w:rPr>
    </w:r>
  </w:p>
  <w:p>
    <w:pPr>
      <w:pStyle w:val="Header"/>
      <w:rPr>
        <w:rFonts w:ascii="Arial" w:hAnsi="Arial" w:eastAsia="Times New Roman" w:cs="Arial"/>
        <w:b/>
        <w:b/>
        <w:bCs/>
        <w:color w:val="000000"/>
        <w:sz w:val="24"/>
        <w:lang w:val="en-US" w:eastAsia="en-GB"/>
      </w:rPr>
    </w:pPr>
    <w:r>
      <w:rPr>
        <w:rFonts w:eastAsia="Times New Roman" w:cs="Arial" w:ascii="Arial" w:hAnsi="Arial"/>
        <w:b/>
        <w:bCs/>
        <w:color w:val="000000"/>
        <w:sz w:val="24"/>
        <w:lang w:val="en-US" w:eastAsia="en-GB"/>
      </w:rPr>
    </w:r>
  </w:p>
  <w:p>
    <w:pPr>
      <w:pStyle w:val="Header"/>
      <w:rPr>
        <w:rFonts w:ascii="Arial" w:hAnsi="Arial" w:cs="Arial"/>
        <w:sz w:val="24"/>
        <w:lang w:val="en-US"/>
      </w:rPr>
    </w:pPr>
    <w:r>
      <w:rPr>
        <w:rFonts w:cs="Arial" w:ascii="Arial" w:hAnsi="Arial"/>
        <w:sz w:val="24"/>
        <w:lang w:val="en-US"/>
      </w:rPr>
    </w:r>
  </w:p>
</w:hdr>
</file>

<file path=word/settings.xml><?xml version="1.0" encoding="utf-8"?>
<w:settings xmlns:w="http://schemas.openxmlformats.org/wordprocessingml/2006/main">
  <w:zoom w:percent="101"/>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szCs w:val="24"/>
        <w:lang w:val="sv-SE" w:eastAsia="sv-S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556f1"/>
    <w:pPr>
      <w:widowControl/>
      <w:bidi w:val="0"/>
      <w:spacing w:before="0" w:after="0"/>
      <w:jc w:val="left"/>
    </w:pPr>
    <w:rPr>
      <w:rFonts w:ascii="Times New Roman" w:hAnsi="Times New Roman" w:eastAsia="ＭＳ 明朝" w:cs="Times New Roman" w:eastAsiaTheme="minorEastAsia"/>
      <w:color w:val="auto"/>
      <w:kern w:val="0"/>
      <w:sz w:val="20"/>
      <w:szCs w:val="24"/>
      <w:lang w:val="sv-SE" w:eastAsia="sv-SE" w:bidi="ar-SA"/>
    </w:rPr>
  </w:style>
  <w:style w:type="paragraph" w:styleId="Heading1">
    <w:name w:val="Heading 1"/>
    <w:basedOn w:val="Normal"/>
    <w:next w:val="Normal"/>
    <w:link w:val="Heading1Char"/>
    <w:uiPriority w:val="9"/>
    <w:qFormat/>
    <w:rsid w:val="005f5ac6"/>
    <w:pPr>
      <w:keepNext w:val="true"/>
      <w:keepLines/>
      <w:spacing w:before="480" w:after="0"/>
      <w:outlineLvl w:val="0"/>
    </w:pPr>
    <w:rPr>
      <w:rFonts w:ascii="Arial" w:hAnsi="Arial" w:eastAsia="ＭＳ ゴシック" w:cs="" w:cstheme="majorBidi" w:eastAsiaTheme="majorEastAsia"/>
      <w:b/>
      <w:bCs/>
      <w:sz w:val="36"/>
      <w:szCs w:val="32"/>
    </w:rPr>
  </w:style>
  <w:style w:type="paragraph" w:styleId="Heading2">
    <w:name w:val="Heading 2"/>
    <w:basedOn w:val="Normal"/>
    <w:next w:val="Normal"/>
    <w:link w:val="Heading2Char"/>
    <w:uiPriority w:val="9"/>
    <w:unhideWhenUsed/>
    <w:qFormat/>
    <w:rsid w:val="005f5ac6"/>
    <w:pPr>
      <w:keepNext w:val="true"/>
      <w:keepLines/>
      <w:spacing w:before="200" w:after="0"/>
      <w:outlineLvl w:val="1"/>
    </w:pPr>
    <w:rPr>
      <w:rFonts w:ascii="Arial" w:hAnsi="Arial" w:eastAsia="ＭＳ ゴシック" w:cs="" w:cstheme="majorBidi" w:eastAsiaTheme="majorEastAsia"/>
      <w:bCs/>
      <w:sz w:val="32"/>
      <w:szCs w:val="26"/>
    </w:rPr>
  </w:style>
  <w:style w:type="paragraph" w:styleId="Heading3">
    <w:name w:val="Heading 3"/>
    <w:basedOn w:val="Normal"/>
    <w:next w:val="Normal"/>
    <w:link w:val="Heading3Char"/>
    <w:uiPriority w:val="9"/>
    <w:unhideWhenUsed/>
    <w:qFormat/>
    <w:rsid w:val="005f5ac6"/>
    <w:pPr>
      <w:keepNext w:val="true"/>
      <w:keepLines/>
      <w:spacing w:before="200" w:after="0"/>
      <w:outlineLvl w:val="2"/>
    </w:pPr>
    <w:rPr>
      <w:rFonts w:ascii="Arial" w:hAnsi="Arial" w:eastAsia="ＭＳ ゴシック" w:cs="" w:cstheme="majorBidi" w:eastAsiaTheme="majorEastAsia"/>
      <w:bCs/>
      <w:i/>
      <w:sz w:val="28"/>
    </w:rPr>
  </w:style>
  <w:style w:type="paragraph" w:styleId="Heading4">
    <w:name w:val="Heading 4"/>
    <w:basedOn w:val="Normal"/>
    <w:next w:val="Normal"/>
    <w:link w:val="Heading4Char"/>
    <w:uiPriority w:val="9"/>
    <w:unhideWhenUsed/>
    <w:qFormat/>
    <w:rsid w:val="00b62fd4"/>
    <w:pPr>
      <w:keepNext w:val="true"/>
      <w:keepLines/>
      <w:spacing w:before="200" w:after="0"/>
      <w:outlineLvl w:val="3"/>
    </w:pPr>
    <w:rPr>
      <w:rFonts w:ascii="Arial" w:hAnsi="Arial" w:eastAsia="ＭＳ ゴシック" w:cs="" w:cstheme="majorBidi" w:eastAsiaTheme="majorEastAsia"/>
      <w:bCs/>
      <w:iCs/>
      <w:sz w:val="24"/>
    </w:rPr>
  </w:style>
  <w:style w:type="paragraph" w:styleId="Heading5">
    <w:name w:val="Heading 5"/>
    <w:basedOn w:val="Normal"/>
    <w:next w:val="Normal"/>
    <w:link w:val="Heading5Char"/>
    <w:uiPriority w:val="9"/>
    <w:unhideWhenUsed/>
    <w:qFormat/>
    <w:rsid w:val="005f5ac6"/>
    <w:pPr>
      <w:keepNext w:val="true"/>
      <w:keepLines/>
      <w:spacing w:before="200" w:after="0"/>
      <w:outlineLvl w:val="4"/>
    </w:pPr>
    <w:rPr>
      <w:rFonts w:ascii="Arial" w:hAnsi="Arial" w:eastAsia="ＭＳ ゴシック" w:cs="" w:cstheme="majorBidi" w:eastAsiaTheme="majorEastAsia"/>
      <w:b/>
    </w:rPr>
  </w:style>
  <w:style w:type="paragraph" w:styleId="Heading6">
    <w:name w:val="Heading 6"/>
    <w:basedOn w:val="Normal"/>
    <w:next w:val="Normal"/>
    <w:link w:val="Heading6Char"/>
    <w:uiPriority w:val="9"/>
    <w:unhideWhenUsed/>
    <w:qFormat/>
    <w:rsid w:val="00fb269d"/>
    <w:pPr>
      <w:keepNext w:val="true"/>
      <w:keepLines/>
      <w:spacing w:before="200" w:after="0"/>
      <w:outlineLvl w:val="5"/>
    </w:pPr>
    <w:rPr>
      <w:rFonts w:ascii="Arial" w:hAnsi="Arial" w:eastAsia="ＭＳ ゴシック" w:cs="" w:cstheme="majorBidi" w:eastAsiaTheme="majorEastAsia"/>
      <w:iC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f5ac6"/>
    <w:rPr>
      <w:rFonts w:ascii="Arial" w:hAnsi="Arial" w:eastAsia="ＭＳ ゴシック" w:cs="" w:cstheme="majorBidi" w:eastAsiaTheme="majorEastAsia"/>
      <w:b/>
      <w:bCs/>
      <w:sz w:val="36"/>
      <w:szCs w:val="32"/>
    </w:rPr>
  </w:style>
  <w:style w:type="character" w:styleId="Heading2Char" w:customStyle="1">
    <w:name w:val="Heading 2 Char"/>
    <w:basedOn w:val="DefaultParagraphFont"/>
    <w:link w:val="Heading2"/>
    <w:uiPriority w:val="9"/>
    <w:qFormat/>
    <w:rsid w:val="005f5ac6"/>
    <w:rPr>
      <w:rFonts w:ascii="Arial" w:hAnsi="Arial" w:eastAsia="ＭＳ ゴシック" w:cs="" w:cstheme="majorBidi" w:eastAsiaTheme="majorEastAsia"/>
      <w:bCs/>
      <w:sz w:val="32"/>
      <w:szCs w:val="26"/>
    </w:rPr>
  </w:style>
  <w:style w:type="character" w:styleId="Heading3Char" w:customStyle="1">
    <w:name w:val="Heading 3 Char"/>
    <w:basedOn w:val="DefaultParagraphFont"/>
    <w:link w:val="Heading3"/>
    <w:uiPriority w:val="9"/>
    <w:qFormat/>
    <w:rsid w:val="005f5ac6"/>
    <w:rPr>
      <w:rFonts w:ascii="Arial" w:hAnsi="Arial" w:eastAsia="ＭＳ ゴシック" w:cs="" w:cstheme="majorBidi" w:eastAsiaTheme="majorEastAsia"/>
      <w:bCs/>
      <w:i/>
      <w:sz w:val="28"/>
    </w:rPr>
  </w:style>
  <w:style w:type="character" w:styleId="Heading4Char" w:customStyle="1">
    <w:name w:val="Heading 4 Char"/>
    <w:basedOn w:val="DefaultParagraphFont"/>
    <w:link w:val="Heading4"/>
    <w:uiPriority w:val="9"/>
    <w:qFormat/>
    <w:rsid w:val="00b62fd4"/>
    <w:rPr>
      <w:rFonts w:ascii="Arial" w:hAnsi="Arial" w:eastAsia="ＭＳ ゴシック" w:cs="" w:cstheme="majorBidi" w:eastAsiaTheme="majorEastAsia"/>
      <w:bCs/>
      <w:iCs/>
    </w:rPr>
  </w:style>
  <w:style w:type="character" w:styleId="Heading5Char" w:customStyle="1">
    <w:name w:val="Heading 5 Char"/>
    <w:basedOn w:val="DefaultParagraphFont"/>
    <w:link w:val="Heading5"/>
    <w:uiPriority w:val="9"/>
    <w:qFormat/>
    <w:rsid w:val="005f5ac6"/>
    <w:rPr>
      <w:rFonts w:ascii="Arial" w:hAnsi="Arial" w:eastAsia="ＭＳ ゴシック" w:cs="" w:cstheme="majorBidi" w:eastAsiaTheme="majorEastAsia"/>
      <w:b/>
      <w:sz w:val="20"/>
    </w:rPr>
  </w:style>
  <w:style w:type="character" w:styleId="Heading6Char" w:customStyle="1">
    <w:name w:val="Heading 6 Char"/>
    <w:basedOn w:val="DefaultParagraphFont"/>
    <w:link w:val="Heading6"/>
    <w:uiPriority w:val="9"/>
    <w:qFormat/>
    <w:rsid w:val="00fb269d"/>
    <w:rPr>
      <w:rFonts w:ascii="Arial" w:hAnsi="Arial" w:eastAsia="ＭＳ ゴシック" w:cs="" w:cstheme="majorBidi" w:eastAsiaTheme="majorEastAsia"/>
      <w:iCs/>
      <w:sz w:val="20"/>
    </w:rPr>
  </w:style>
  <w:style w:type="character" w:styleId="HeaderChar" w:customStyle="1">
    <w:name w:val="Header Char"/>
    <w:basedOn w:val="DefaultParagraphFont"/>
    <w:link w:val="Header"/>
    <w:uiPriority w:val="99"/>
    <w:qFormat/>
    <w:rsid w:val="00261548"/>
    <w:rPr>
      <w:sz w:val="20"/>
    </w:rPr>
  </w:style>
  <w:style w:type="character" w:styleId="FooterChar" w:customStyle="1">
    <w:name w:val="Footer Char"/>
    <w:basedOn w:val="DefaultParagraphFont"/>
    <w:link w:val="Footer"/>
    <w:uiPriority w:val="99"/>
    <w:qFormat/>
    <w:rsid w:val="00261548"/>
    <w:rPr>
      <w:sz w:val="20"/>
    </w:rPr>
  </w:style>
  <w:style w:type="character" w:styleId="Pagenumber">
    <w:name w:val="page number"/>
    <w:basedOn w:val="DefaultParagraphFont"/>
    <w:uiPriority w:val="99"/>
    <w:semiHidden/>
    <w:unhideWhenUsed/>
    <w:qFormat/>
    <w:rsid w:val="007e4593"/>
    <w:rPr/>
  </w:style>
  <w:style w:type="character" w:styleId="BalloonTextChar" w:customStyle="1">
    <w:name w:val="Balloon Text Char"/>
    <w:basedOn w:val="DefaultParagraphFont"/>
    <w:link w:val="BalloonText"/>
    <w:uiPriority w:val="99"/>
    <w:semiHidden/>
    <w:qFormat/>
    <w:rsid w:val="007e4593"/>
    <w:rPr>
      <w:rFonts w:ascii="Lucida Grande" w:hAnsi="Lucida Grande" w:cs="Lucida Grande"/>
      <w:sz w:val="18"/>
      <w:szCs w:val="18"/>
    </w:rPr>
  </w:style>
  <w:style w:type="character" w:styleId="Annotationreference">
    <w:name w:val="annotation reference"/>
    <w:basedOn w:val="DefaultParagraphFont"/>
    <w:uiPriority w:val="99"/>
    <w:semiHidden/>
    <w:unhideWhenUsed/>
    <w:qFormat/>
    <w:rsid w:val="00426117"/>
    <w:rPr>
      <w:sz w:val="18"/>
      <w:szCs w:val="18"/>
    </w:rPr>
  </w:style>
  <w:style w:type="character" w:styleId="CommentTextChar" w:customStyle="1">
    <w:name w:val="Comment Text Char"/>
    <w:basedOn w:val="DefaultParagraphFont"/>
    <w:link w:val="CommentText"/>
    <w:uiPriority w:val="99"/>
    <w:semiHidden/>
    <w:qFormat/>
    <w:rsid w:val="00426117"/>
    <w:rPr>
      <w:rFonts w:eastAsia="Times New Roman"/>
      <w:color w:val="231F20"/>
      <w:lang w:val="en-US" w:eastAsia="en-US"/>
    </w:rPr>
  </w:style>
  <w:style w:type="character" w:styleId="CommentSubjectChar" w:customStyle="1">
    <w:name w:val="Comment Subject Char"/>
    <w:basedOn w:val="CommentTextChar"/>
    <w:link w:val="CommentSubject"/>
    <w:uiPriority w:val="99"/>
    <w:semiHidden/>
    <w:qFormat/>
    <w:rsid w:val="006223ad"/>
    <w:rPr>
      <w:rFonts w:eastAsia="Times New Roman"/>
      <w:b/>
      <w:bCs/>
      <w:color w:val="231F20"/>
      <w:sz w:val="20"/>
      <w:szCs w:val="20"/>
      <w:lang w:val="en-US" w:eastAsia="en-US"/>
    </w:rPr>
  </w:style>
  <w:style w:type="character" w:styleId="Strong">
    <w:name w:val="Strong"/>
    <w:basedOn w:val="DefaultParagraphFont"/>
    <w:uiPriority w:val="22"/>
    <w:qFormat/>
    <w:rsid w:val="00cd5108"/>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e7f35"/>
    <w:pPr>
      <w:spacing w:before="0" w:after="0"/>
      <w:ind w:left="720" w:hanging="0"/>
      <w:contextualSpacing/>
    </w:pPr>
    <w:rPr>
      <w:rFonts w:ascii="Cambria" w:hAnsi="Cambria" w:cs="" w:asciiTheme="minorHAnsi" w:cstheme="minorBidi" w:hAnsiTheme="minorHAnsi"/>
      <w:sz w:val="24"/>
      <w:lang w:val="en-US" w:eastAsia="en-US"/>
    </w:rPr>
  </w:style>
  <w:style w:type="paragraph" w:styleId="HeaderandFooter">
    <w:name w:val="Header and Footer"/>
    <w:basedOn w:val="Normal"/>
    <w:qFormat/>
    <w:pPr/>
    <w:rPr/>
  </w:style>
  <w:style w:type="paragraph" w:styleId="Header">
    <w:name w:val="Header"/>
    <w:basedOn w:val="Normal"/>
    <w:link w:val="HeaderChar"/>
    <w:uiPriority w:val="99"/>
    <w:unhideWhenUsed/>
    <w:rsid w:val="00261548"/>
    <w:pPr>
      <w:tabs>
        <w:tab w:val="clear" w:pos="1304"/>
        <w:tab w:val="center" w:pos="4153" w:leader="none"/>
        <w:tab w:val="right" w:pos="8306" w:leader="none"/>
      </w:tabs>
    </w:pPr>
    <w:rPr/>
  </w:style>
  <w:style w:type="paragraph" w:styleId="Footer">
    <w:name w:val="Footer"/>
    <w:basedOn w:val="Normal"/>
    <w:link w:val="FooterChar"/>
    <w:uiPriority w:val="99"/>
    <w:unhideWhenUsed/>
    <w:rsid w:val="00261548"/>
    <w:pPr>
      <w:tabs>
        <w:tab w:val="clear" w:pos="1304"/>
        <w:tab w:val="center" w:pos="4153" w:leader="none"/>
        <w:tab w:val="right" w:pos="8306" w:leader="none"/>
      </w:tabs>
    </w:pPr>
    <w:rPr/>
  </w:style>
  <w:style w:type="paragraph" w:styleId="TOCHeading">
    <w:name w:val="TOC Heading"/>
    <w:basedOn w:val="Heading1"/>
    <w:next w:val="Normal"/>
    <w:uiPriority w:val="39"/>
    <w:unhideWhenUsed/>
    <w:qFormat/>
    <w:rsid w:val="007e4593"/>
    <w:pPr>
      <w:spacing w:lineRule="auto" w:line="276"/>
    </w:pPr>
    <w:rPr>
      <w:sz w:val="28"/>
      <w:szCs w:val="28"/>
      <w:lang w:val="en-US" w:eastAsia="en-US"/>
    </w:rPr>
  </w:style>
  <w:style w:type="paragraph" w:styleId="Contents1">
    <w:name w:val="TOC 1"/>
    <w:basedOn w:val="Normal"/>
    <w:next w:val="Normal"/>
    <w:autoRedefine/>
    <w:uiPriority w:val="39"/>
    <w:unhideWhenUsed/>
    <w:rsid w:val="007e4593"/>
    <w:pPr>
      <w:spacing w:before="120" w:after="0"/>
    </w:pPr>
    <w:rPr>
      <w:rFonts w:ascii="Cambria" w:hAnsi="Cambria" w:asciiTheme="minorHAnsi" w:hAnsiTheme="minorHAnsi"/>
      <w:b/>
      <w:sz w:val="24"/>
    </w:rPr>
  </w:style>
  <w:style w:type="paragraph" w:styleId="BalloonText">
    <w:name w:val="Balloon Text"/>
    <w:basedOn w:val="Normal"/>
    <w:link w:val="BalloonTextChar"/>
    <w:uiPriority w:val="99"/>
    <w:semiHidden/>
    <w:unhideWhenUsed/>
    <w:qFormat/>
    <w:rsid w:val="007e4593"/>
    <w:pPr/>
    <w:rPr>
      <w:rFonts w:ascii="Lucida Grande" w:hAnsi="Lucida Grande" w:cs="Lucida Grande"/>
      <w:sz w:val="18"/>
      <w:szCs w:val="18"/>
    </w:rPr>
  </w:style>
  <w:style w:type="paragraph" w:styleId="Contents2">
    <w:name w:val="TOC 2"/>
    <w:basedOn w:val="Normal"/>
    <w:next w:val="Normal"/>
    <w:autoRedefine/>
    <w:uiPriority w:val="39"/>
    <w:semiHidden/>
    <w:unhideWhenUsed/>
    <w:rsid w:val="007e4593"/>
    <w:pPr>
      <w:ind w:left="200" w:hanging="0"/>
    </w:pPr>
    <w:rPr>
      <w:rFonts w:ascii="Cambria" w:hAnsi="Cambria" w:asciiTheme="minorHAnsi" w:hAnsiTheme="minorHAnsi"/>
      <w:b/>
      <w:sz w:val="22"/>
      <w:szCs w:val="22"/>
    </w:rPr>
  </w:style>
  <w:style w:type="paragraph" w:styleId="Contents3">
    <w:name w:val="TOC 3"/>
    <w:basedOn w:val="Normal"/>
    <w:next w:val="Normal"/>
    <w:autoRedefine/>
    <w:uiPriority w:val="39"/>
    <w:semiHidden/>
    <w:unhideWhenUsed/>
    <w:rsid w:val="007e4593"/>
    <w:pPr>
      <w:ind w:left="400" w:hanging="0"/>
    </w:pPr>
    <w:rPr>
      <w:rFonts w:ascii="Cambria" w:hAnsi="Cambria" w:asciiTheme="minorHAnsi" w:hAnsiTheme="minorHAnsi"/>
      <w:sz w:val="22"/>
      <w:szCs w:val="22"/>
    </w:rPr>
  </w:style>
  <w:style w:type="paragraph" w:styleId="Contents4">
    <w:name w:val="TOC 4"/>
    <w:basedOn w:val="Normal"/>
    <w:next w:val="Normal"/>
    <w:autoRedefine/>
    <w:uiPriority w:val="39"/>
    <w:semiHidden/>
    <w:unhideWhenUsed/>
    <w:rsid w:val="007e4593"/>
    <w:pPr>
      <w:ind w:left="600" w:hanging="0"/>
    </w:pPr>
    <w:rPr>
      <w:rFonts w:ascii="Cambria" w:hAnsi="Cambria" w:asciiTheme="minorHAnsi" w:hAnsiTheme="minorHAnsi"/>
      <w:szCs w:val="20"/>
    </w:rPr>
  </w:style>
  <w:style w:type="paragraph" w:styleId="Contents5">
    <w:name w:val="TOC 5"/>
    <w:basedOn w:val="Normal"/>
    <w:next w:val="Normal"/>
    <w:autoRedefine/>
    <w:uiPriority w:val="39"/>
    <w:semiHidden/>
    <w:unhideWhenUsed/>
    <w:rsid w:val="007e4593"/>
    <w:pPr>
      <w:ind w:left="800" w:hanging="0"/>
    </w:pPr>
    <w:rPr>
      <w:rFonts w:ascii="Cambria" w:hAnsi="Cambria" w:asciiTheme="minorHAnsi" w:hAnsiTheme="minorHAnsi"/>
      <w:szCs w:val="20"/>
    </w:rPr>
  </w:style>
  <w:style w:type="paragraph" w:styleId="Contents6">
    <w:name w:val="TOC 6"/>
    <w:basedOn w:val="Normal"/>
    <w:next w:val="Normal"/>
    <w:autoRedefine/>
    <w:uiPriority w:val="39"/>
    <w:semiHidden/>
    <w:unhideWhenUsed/>
    <w:rsid w:val="007e4593"/>
    <w:pPr>
      <w:ind w:left="1000" w:hanging="0"/>
    </w:pPr>
    <w:rPr>
      <w:rFonts w:ascii="Cambria" w:hAnsi="Cambria" w:asciiTheme="minorHAnsi" w:hAnsiTheme="minorHAnsi"/>
      <w:szCs w:val="20"/>
    </w:rPr>
  </w:style>
  <w:style w:type="paragraph" w:styleId="Contents7">
    <w:name w:val="TOC 7"/>
    <w:basedOn w:val="Normal"/>
    <w:next w:val="Normal"/>
    <w:autoRedefine/>
    <w:uiPriority w:val="39"/>
    <w:semiHidden/>
    <w:unhideWhenUsed/>
    <w:rsid w:val="007e4593"/>
    <w:pPr>
      <w:ind w:left="1200" w:hanging="0"/>
    </w:pPr>
    <w:rPr>
      <w:rFonts w:ascii="Cambria" w:hAnsi="Cambria" w:asciiTheme="minorHAnsi" w:hAnsiTheme="minorHAnsi"/>
      <w:szCs w:val="20"/>
    </w:rPr>
  </w:style>
  <w:style w:type="paragraph" w:styleId="Contents8">
    <w:name w:val="TOC 8"/>
    <w:basedOn w:val="Normal"/>
    <w:next w:val="Normal"/>
    <w:autoRedefine/>
    <w:uiPriority w:val="39"/>
    <w:semiHidden/>
    <w:unhideWhenUsed/>
    <w:rsid w:val="007e4593"/>
    <w:pPr>
      <w:ind w:left="1400" w:hanging="0"/>
    </w:pPr>
    <w:rPr>
      <w:rFonts w:ascii="Cambria" w:hAnsi="Cambria" w:asciiTheme="minorHAnsi" w:hAnsiTheme="minorHAnsi"/>
      <w:szCs w:val="20"/>
    </w:rPr>
  </w:style>
  <w:style w:type="paragraph" w:styleId="Contents9">
    <w:name w:val="TOC 9"/>
    <w:basedOn w:val="Normal"/>
    <w:next w:val="Normal"/>
    <w:autoRedefine/>
    <w:uiPriority w:val="39"/>
    <w:semiHidden/>
    <w:unhideWhenUsed/>
    <w:rsid w:val="007e4593"/>
    <w:pPr>
      <w:ind w:left="1600" w:hanging="0"/>
    </w:pPr>
    <w:rPr>
      <w:rFonts w:ascii="Cambria" w:hAnsi="Cambria" w:asciiTheme="minorHAnsi" w:hAnsiTheme="minorHAnsi"/>
      <w:szCs w:val="20"/>
    </w:rPr>
  </w:style>
  <w:style w:type="paragraph" w:styleId="Annotationtext">
    <w:name w:val="annotation text"/>
    <w:basedOn w:val="Normal"/>
    <w:link w:val="CommentTextChar"/>
    <w:uiPriority w:val="99"/>
    <w:semiHidden/>
    <w:unhideWhenUsed/>
    <w:qFormat/>
    <w:rsid w:val="00426117"/>
    <w:pPr>
      <w:widowControl w:val="false"/>
      <w:spacing w:before="0" w:after="240"/>
    </w:pPr>
    <w:rPr>
      <w:rFonts w:eastAsia="Times New Roman"/>
      <w:color w:val="231F20"/>
      <w:sz w:val="24"/>
      <w:lang w:val="en-US" w:eastAsia="en-US"/>
    </w:rPr>
  </w:style>
  <w:style w:type="paragraph" w:styleId="Annotationsubject">
    <w:name w:val="annotation subject"/>
    <w:basedOn w:val="Annotationtext"/>
    <w:next w:val="Annotationtext"/>
    <w:link w:val="CommentSubjectChar"/>
    <w:uiPriority w:val="99"/>
    <w:semiHidden/>
    <w:unhideWhenUsed/>
    <w:qFormat/>
    <w:rsid w:val="006223ad"/>
    <w:pPr>
      <w:widowControl/>
      <w:spacing w:before="0" w:after="0"/>
    </w:pPr>
    <w:rPr>
      <w:rFonts w:eastAsia="ＭＳ 明朝" w:eastAsiaTheme="minorEastAsia"/>
      <w:b/>
      <w:bCs/>
      <w:color w:val="auto"/>
      <w:sz w:val="20"/>
      <w:szCs w:val="20"/>
      <w:lang w:val="sv-SE" w:eastAsia="sv-SE"/>
    </w:rPr>
  </w:style>
  <w:style w:type="paragraph" w:styleId="Revision">
    <w:name w:val="Revision"/>
    <w:uiPriority w:val="99"/>
    <w:semiHidden/>
    <w:qFormat/>
    <w:rsid w:val="00cd5108"/>
    <w:pPr>
      <w:widowControl/>
      <w:bidi w:val="0"/>
      <w:spacing w:before="0" w:after="0"/>
      <w:jc w:val="left"/>
    </w:pPr>
    <w:rPr>
      <w:rFonts w:ascii="Times New Roman" w:hAnsi="Times New Roman" w:eastAsia="ＭＳ 明朝" w:cs="Times New Roman" w:eastAsiaTheme="minorEastAsia"/>
      <w:color w:val="auto"/>
      <w:kern w:val="0"/>
      <w:sz w:val="20"/>
      <w:szCs w:val="24"/>
      <w:lang w:val="sv-SE" w:eastAsia="sv-SE"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0474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Accent2">
    <w:name w:val="Light Grid Accent 2"/>
    <w:basedOn w:val="TableNormal"/>
    <w:uiPriority w:val="62"/>
    <w:rsid w:val="0004749f"/>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3549ea"/>
    <w:pPr>
      <w:jc w:val="center"/>
    </w:pPr>
    <w:rPr>
      <w:sz w:val="16"/>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vAlign w:val="center"/>
    </w:tcPr>
    <w:tblStylePr w:type="firstRow">
      <w:pPr>
        <w:spacing w:before="0" w:after="0" w:line="240" w:lineRule="auto"/>
        <w:jc w:val="center"/>
      </w:pPr>
      <w:rPr>
        <w:rFonts w:eastAsiaTheme="majorEastAsia" w:cstheme="majorBidi"/>
        <w:b/>
        <w:bCs/>
        <w:sz w:val="20"/>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pPr>
        <w:jc w:val="left"/>
      </w:pPr>
      <w:rPr>
        <w:rFonts w:eastAsiaTheme="majorEastAsia" w:cstheme="majorBidi"/>
        <w:b w:val="0"/>
        <w:bCs/>
        <w:sz w:val="16"/>
      </w:rPr>
      <w:tblPr/>
      <w:tcPr>
        <w:vAlign w:val="top"/>
      </w:tcPr>
    </w:tblStylePr>
    <w:tblStylePr w:type="lastCol">
      <w:pPr>
        <w:jc w:val="left"/>
      </w:pPr>
      <w:rPr>
        <w:rFonts w:eastAsiaTheme="majorEastAsia" w:cstheme="majorBidi"/>
        <w:b w:val="0"/>
        <w:bCs/>
        <w:sz w:val="16"/>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vAlign w:val="top"/>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TableGridLight">
    <w:name w:val="Grid Table Light"/>
    <w:basedOn w:val="TableNormal"/>
    <w:uiPriority w:val="40"/>
    <w:rsid w:val="00ea37f0"/>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430-2850-475B-ACC0-CAF238E4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LibreOffice/6.4.7.2$Linux_X86_64 LibreOffice_project/40$Build-2</Application>
  <Pages>9</Pages>
  <Words>621</Words>
  <Characters>3466</Characters>
  <CharactersWithSpaces>4065</CharactersWithSpaces>
  <Paragraphs>46</Paragraphs>
  <Company>IGP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2021-12-06T20:54:00Z</dcterms:created>
  <dc:creator>Kerstin Henriksson</dc:creator>
  <dc:description/>
  <dc:language>en-US</dc:language>
  <cp:lastModifiedBy/>
  <dcterms:modified xsi:type="dcterms:W3CDTF">2021-12-10T11:06:27Z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